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B0" w:rsidRPr="00B827A4" w:rsidRDefault="005366B0">
      <w:pPr>
        <w:pStyle w:val="BodyText"/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b/>
          <w:sz w:val="22"/>
          <w:szCs w:val="22"/>
        </w:rPr>
        <w:t>BIO-BIBLIO</w:t>
      </w:r>
      <w:r w:rsidR="00CD5E08" w:rsidRPr="00B827A4">
        <w:rPr>
          <w:rFonts w:ascii="Times New Roman" w:hAnsi="Times New Roman"/>
          <w:b/>
          <w:sz w:val="22"/>
          <w:szCs w:val="22"/>
        </w:rPr>
        <w:t>GRAPHY</w:t>
      </w:r>
      <w:r w:rsidR="00986F74" w:rsidRPr="00B827A4">
        <w:rPr>
          <w:rFonts w:ascii="Times New Roman" w:hAnsi="Times New Roman"/>
          <w:b/>
          <w:sz w:val="22"/>
          <w:szCs w:val="22"/>
        </w:rPr>
        <w:tab/>
      </w:r>
      <w:r w:rsidR="00986F74" w:rsidRPr="00B827A4">
        <w:rPr>
          <w:rFonts w:ascii="Times New Roman" w:hAnsi="Times New Roman"/>
          <w:b/>
          <w:sz w:val="22"/>
          <w:szCs w:val="22"/>
        </w:rPr>
        <w:tab/>
        <w:t xml:space="preserve">            </w:t>
      </w:r>
      <w:r w:rsidR="00986F74" w:rsidRPr="00B827A4">
        <w:rPr>
          <w:rFonts w:ascii="Times New Roman" w:hAnsi="Times New Roman"/>
          <w:b/>
          <w:sz w:val="22"/>
          <w:szCs w:val="22"/>
        </w:rPr>
        <w:tab/>
        <w:t xml:space="preserve">                      </w:t>
      </w:r>
      <w:r w:rsidR="00D96E13" w:rsidRPr="00B827A4">
        <w:rPr>
          <w:rFonts w:ascii="Times New Roman" w:hAnsi="Times New Roman"/>
          <w:b/>
          <w:sz w:val="22"/>
          <w:szCs w:val="22"/>
        </w:rPr>
        <w:t xml:space="preserve"> </w:t>
      </w:r>
      <w:r w:rsidR="00986F74" w:rsidRPr="00B827A4">
        <w:rPr>
          <w:rFonts w:ascii="Times New Roman" w:hAnsi="Times New Roman"/>
          <w:b/>
          <w:sz w:val="22"/>
          <w:szCs w:val="22"/>
        </w:rPr>
        <w:t xml:space="preserve">University of California, </w:t>
      </w:r>
      <w:r w:rsidRPr="00B827A4">
        <w:rPr>
          <w:rFonts w:ascii="Times New Roman" w:hAnsi="Times New Roman"/>
          <w:b/>
          <w:sz w:val="22"/>
          <w:szCs w:val="22"/>
        </w:rPr>
        <w:t>Santa Barbara</w:t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sz w:val="22"/>
          <w:szCs w:val="22"/>
        </w:rPr>
        <w:tab/>
      </w:r>
      <w:r w:rsidRPr="00B827A4">
        <w:rPr>
          <w:rFonts w:ascii="Times New Roman" w:hAnsi="Times New Roman"/>
          <w:sz w:val="22"/>
          <w:szCs w:val="22"/>
        </w:rPr>
        <w:tab/>
      </w:r>
      <w:r w:rsidRPr="00B827A4">
        <w:rPr>
          <w:rFonts w:ascii="Times New Roman" w:hAnsi="Times New Roman"/>
          <w:sz w:val="22"/>
          <w:szCs w:val="22"/>
        </w:rPr>
        <w:tab/>
      </w:r>
      <w:r w:rsidRPr="00B827A4">
        <w:rPr>
          <w:rFonts w:ascii="Times New Roman" w:hAnsi="Times New Roman"/>
          <w:sz w:val="22"/>
          <w:szCs w:val="22"/>
        </w:rPr>
        <w:tab/>
      </w:r>
      <w:r w:rsidRPr="00B827A4">
        <w:rPr>
          <w:rFonts w:ascii="Times New Roman" w:hAnsi="Times New Roman"/>
          <w:sz w:val="22"/>
          <w:szCs w:val="22"/>
        </w:rPr>
        <w:tab/>
        <w:t xml:space="preserve">           </w:t>
      </w:r>
      <w:r w:rsidR="00223263">
        <w:rPr>
          <w:rFonts w:ascii="Times New Roman" w:hAnsi="Times New Roman"/>
          <w:sz w:val="22"/>
          <w:szCs w:val="22"/>
        </w:rPr>
        <w:tab/>
      </w:r>
      <w:r w:rsidR="00223263">
        <w:rPr>
          <w:rFonts w:ascii="Times New Roman" w:hAnsi="Times New Roman"/>
          <w:sz w:val="22"/>
          <w:szCs w:val="22"/>
        </w:rPr>
        <w:tab/>
      </w:r>
      <w:r w:rsidR="00223263">
        <w:rPr>
          <w:rFonts w:ascii="Times New Roman" w:hAnsi="Times New Roman"/>
          <w:sz w:val="22"/>
          <w:szCs w:val="22"/>
        </w:rPr>
        <w:tab/>
      </w:r>
      <w:r w:rsidR="00223263">
        <w:rPr>
          <w:rFonts w:ascii="Times New Roman" w:hAnsi="Times New Roman"/>
          <w:sz w:val="22"/>
          <w:szCs w:val="22"/>
        </w:rPr>
        <w:tab/>
      </w:r>
      <w:r w:rsidRPr="00B827A4">
        <w:rPr>
          <w:rFonts w:ascii="Times New Roman" w:hAnsi="Times New Roman"/>
          <w:sz w:val="22"/>
          <w:szCs w:val="22"/>
        </w:rPr>
        <w:t xml:space="preserve">  </w:t>
      </w:r>
      <w:r w:rsidR="00223263">
        <w:rPr>
          <w:rFonts w:ascii="Times New Roman" w:hAnsi="Times New Roman"/>
          <w:sz w:val="22"/>
          <w:szCs w:val="22"/>
        </w:rPr>
        <w:tab/>
      </w:r>
    </w:p>
    <w:p w:rsidR="005366B0" w:rsidRPr="00B827A4" w:rsidRDefault="005366B0">
      <w:pPr>
        <w:rPr>
          <w:rFonts w:ascii="Times New Roman" w:hAnsi="Times New Roman"/>
          <w:b/>
          <w:sz w:val="22"/>
          <w:szCs w:val="22"/>
        </w:rPr>
      </w:pPr>
    </w:p>
    <w:p w:rsidR="00D96E13" w:rsidRPr="00B827A4" w:rsidRDefault="005366B0">
      <w:pPr>
        <w:rPr>
          <w:rFonts w:ascii="Times New Roman" w:hAnsi="Times New Roman"/>
          <w:b/>
          <w:sz w:val="22"/>
          <w:szCs w:val="22"/>
        </w:rPr>
      </w:pPr>
      <w:r w:rsidRPr="00B827A4">
        <w:rPr>
          <w:rFonts w:ascii="Times New Roman" w:hAnsi="Times New Roman"/>
          <w:b/>
          <w:sz w:val="22"/>
          <w:szCs w:val="22"/>
        </w:rPr>
        <w:t>Brice Erickson</w:t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</w:p>
    <w:p w:rsidR="00720DC5" w:rsidRPr="00B827A4" w:rsidRDefault="005366B0">
      <w:pPr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>Professor</w:t>
      </w:r>
      <w:r w:rsidR="000D20A8">
        <w:rPr>
          <w:rFonts w:ascii="Times New Roman" w:hAnsi="Times New Roman"/>
          <w:sz w:val="22"/>
          <w:szCs w:val="22"/>
        </w:rPr>
        <w:t xml:space="preserve"> </w:t>
      </w:r>
      <w:r w:rsidR="000E43B6">
        <w:rPr>
          <w:rFonts w:ascii="Times New Roman" w:hAnsi="Times New Roman"/>
          <w:sz w:val="22"/>
          <w:szCs w:val="22"/>
        </w:rPr>
        <w:t>IV</w:t>
      </w:r>
    </w:p>
    <w:p w:rsidR="000D7232" w:rsidRPr="00B827A4" w:rsidRDefault="000D7232">
      <w:pPr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>Classics</w:t>
      </w:r>
    </w:p>
    <w:p w:rsidR="005366B0" w:rsidRPr="00B827A4" w:rsidRDefault="005366B0">
      <w:pPr>
        <w:rPr>
          <w:rFonts w:ascii="Times New Roman" w:hAnsi="Times New Roman"/>
          <w:b/>
          <w:sz w:val="22"/>
          <w:szCs w:val="22"/>
        </w:rPr>
      </w:pP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</w:r>
      <w:r w:rsidRPr="00B827A4">
        <w:rPr>
          <w:rFonts w:ascii="Times New Roman" w:hAnsi="Times New Roman"/>
          <w:b/>
          <w:sz w:val="22"/>
          <w:szCs w:val="22"/>
        </w:rPr>
        <w:tab/>
        <w:t xml:space="preserve">  </w:t>
      </w:r>
    </w:p>
    <w:p w:rsidR="005366B0" w:rsidRPr="00B827A4" w:rsidRDefault="00CD5E08" w:rsidP="00CD5E08">
      <w:pPr>
        <w:jc w:val="center"/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b/>
          <w:sz w:val="22"/>
          <w:szCs w:val="22"/>
        </w:rPr>
        <w:t>Curriculum Vitae</w:t>
      </w:r>
    </w:p>
    <w:p w:rsidR="005366B0" w:rsidRPr="00B827A4" w:rsidRDefault="005366B0">
      <w:pPr>
        <w:ind w:left="1440" w:firstLine="720"/>
        <w:rPr>
          <w:rFonts w:ascii="Times New Roman" w:hAnsi="Times New Roman"/>
          <w:sz w:val="22"/>
          <w:szCs w:val="22"/>
        </w:rPr>
      </w:pPr>
    </w:p>
    <w:p w:rsidR="005366B0" w:rsidRPr="00B827A4" w:rsidRDefault="005366B0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  <w:r w:rsidRPr="00B827A4">
        <w:rPr>
          <w:rFonts w:ascii="Times New Roman" w:hAnsi="Times New Roman"/>
          <w:b/>
          <w:sz w:val="22"/>
          <w:szCs w:val="22"/>
          <w:u w:val="single"/>
        </w:rPr>
        <w:t>Education</w:t>
      </w:r>
    </w:p>
    <w:p w:rsidR="00720DC5" w:rsidRPr="00B827A4" w:rsidRDefault="00720DC5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University of Virginia, Echols Scholar, B.A., History, 1993</w:t>
      </w:r>
    </w:p>
    <w:p w:rsidR="00720DC5" w:rsidRPr="00B827A4" w:rsidRDefault="00720DC5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University of Texas at Austin, M.A., Latin, 1995</w:t>
      </w:r>
    </w:p>
    <w:p w:rsidR="00720DC5" w:rsidRPr="00B827A4" w:rsidRDefault="00720DC5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University of Texas at Austin, Classics, 2000</w:t>
      </w:r>
    </w:p>
    <w:p w:rsidR="005366B0" w:rsidRPr="00B827A4" w:rsidRDefault="005366B0" w:rsidP="005366B0">
      <w:pPr>
        <w:rPr>
          <w:rFonts w:ascii="Times New Roman" w:hAnsi="Times New Roman"/>
          <w:sz w:val="22"/>
          <w:szCs w:val="22"/>
        </w:rPr>
      </w:pPr>
    </w:p>
    <w:p w:rsidR="005366B0" w:rsidRPr="00B827A4" w:rsidRDefault="005366B0" w:rsidP="005366B0">
      <w:pPr>
        <w:rPr>
          <w:rFonts w:ascii="Times New Roman" w:hAnsi="Times New Roman"/>
          <w:b/>
          <w:sz w:val="22"/>
          <w:szCs w:val="22"/>
          <w:u w:val="single"/>
        </w:rPr>
      </w:pPr>
      <w:r w:rsidRPr="00B827A4">
        <w:rPr>
          <w:rFonts w:ascii="Times New Roman" w:hAnsi="Times New Roman"/>
          <w:b/>
          <w:sz w:val="22"/>
          <w:szCs w:val="22"/>
          <w:u w:val="single"/>
        </w:rPr>
        <w:t>Areas of Specialization</w:t>
      </w:r>
      <w:r w:rsidRPr="00B827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720DC5" w:rsidRPr="00B827A4" w:rsidRDefault="00720DC5" w:rsidP="00720DC5">
      <w:pPr>
        <w:ind w:left="720"/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>Greek Archaeology, Crete, Ceramic Studies</w:t>
      </w:r>
    </w:p>
    <w:p w:rsidR="005366B0" w:rsidRPr="00B827A4" w:rsidRDefault="005366B0" w:rsidP="005366B0">
      <w:pPr>
        <w:rPr>
          <w:rFonts w:ascii="Times New Roman" w:hAnsi="Times New Roman"/>
          <w:sz w:val="22"/>
          <w:szCs w:val="22"/>
        </w:rPr>
      </w:pPr>
    </w:p>
    <w:p w:rsidR="000D7232" w:rsidRPr="00B827A4" w:rsidRDefault="005366B0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  <w:r w:rsidRPr="00B827A4">
        <w:rPr>
          <w:rFonts w:ascii="Times New Roman" w:hAnsi="Times New Roman"/>
          <w:b/>
          <w:sz w:val="22"/>
          <w:szCs w:val="22"/>
          <w:u w:val="single"/>
        </w:rPr>
        <w:t>Previous Academic or Professional Appointments</w:t>
      </w:r>
    </w:p>
    <w:p w:rsidR="001845EE" w:rsidRPr="00B827A4" w:rsidRDefault="001845EE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1995- 2000 Assistant Instructor, University of Texas at Austin</w:t>
      </w:r>
    </w:p>
    <w:p w:rsidR="00986F74" w:rsidRDefault="00986F74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2001 Lecturer, University of Texas at Austin</w:t>
      </w:r>
    </w:p>
    <w:p w:rsidR="001E7EFC" w:rsidRPr="00B827A4" w:rsidRDefault="001E7EFC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1E7EFC">
        <w:rPr>
          <w:rFonts w:ascii="Times New Roman" w:hAnsi="Times New Roman"/>
          <w:sz w:val="22"/>
          <w:szCs w:val="22"/>
        </w:rPr>
        <w:t>2001-2002 Visiting Assistant Professor, Dartmouth College</w:t>
      </w:r>
    </w:p>
    <w:p w:rsidR="00986F74" w:rsidRPr="00B827A4" w:rsidRDefault="00986F74" w:rsidP="00986F74">
      <w:pPr>
        <w:ind w:firstLine="720"/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>2002- 2003 Visiting Assistant Professor, DePauw University</w:t>
      </w:r>
    </w:p>
    <w:p w:rsidR="00986F74" w:rsidRPr="00B827A4" w:rsidRDefault="00986F74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2003-2007 Assistant Professor, Classics, UCSB</w:t>
      </w:r>
    </w:p>
    <w:p w:rsidR="00986F74" w:rsidRPr="00B827A4" w:rsidRDefault="00986F74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2007-2015 Associate Professor, Classics, UCSB</w:t>
      </w:r>
    </w:p>
    <w:p w:rsidR="00986F74" w:rsidRPr="00B827A4" w:rsidRDefault="00986F74" w:rsidP="0053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ab/>
        <w:t>2015- 20</w:t>
      </w:r>
      <w:r w:rsidR="000E43B6">
        <w:rPr>
          <w:rFonts w:ascii="Times New Roman" w:hAnsi="Times New Roman"/>
          <w:sz w:val="22"/>
          <w:szCs w:val="22"/>
        </w:rPr>
        <w:t>20</w:t>
      </w:r>
      <w:r w:rsidRPr="00B827A4">
        <w:rPr>
          <w:rFonts w:ascii="Times New Roman" w:hAnsi="Times New Roman"/>
          <w:sz w:val="22"/>
          <w:szCs w:val="22"/>
        </w:rPr>
        <w:t xml:space="preserve"> Professor, Classics, UCSB</w:t>
      </w:r>
    </w:p>
    <w:p w:rsidR="005366B0" w:rsidRPr="00B827A4" w:rsidRDefault="005366B0" w:rsidP="005366B0">
      <w:pPr>
        <w:rPr>
          <w:rFonts w:ascii="Times New Roman" w:hAnsi="Times New Roman"/>
          <w:sz w:val="22"/>
          <w:szCs w:val="22"/>
        </w:rPr>
      </w:pPr>
    </w:p>
    <w:p w:rsidR="005366B0" w:rsidRPr="00B827A4" w:rsidRDefault="005366B0" w:rsidP="005366B0">
      <w:pPr>
        <w:rPr>
          <w:rFonts w:ascii="Times New Roman" w:hAnsi="Times New Roman"/>
          <w:b/>
          <w:sz w:val="22"/>
          <w:szCs w:val="22"/>
          <w:u w:val="single"/>
        </w:rPr>
      </w:pPr>
      <w:r w:rsidRPr="00B827A4">
        <w:rPr>
          <w:rFonts w:ascii="Times New Roman" w:hAnsi="Times New Roman"/>
          <w:b/>
          <w:sz w:val="22"/>
          <w:szCs w:val="22"/>
          <w:u w:val="single"/>
        </w:rPr>
        <w:t>Professional Organizations</w:t>
      </w:r>
    </w:p>
    <w:p w:rsidR="00D96E13" w:rsidRDefault="00D96E13" w:rsidP="00D96E13">
      <w:pPr>
        <w:ind w:firstLine="720"/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>American School of Classical Studies at Athens</w:t>
      </w:r>
    </w:p>
    <w:p w:rsidR="004370B2" w:rsidRPr="00B827A4" w:rsidRDefault="004370B2" w:rsidP="00D96E13">
      <w:pPr>
        <w:ind w:firstLine="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Archaeological Institute of America</w:t>
      </w:r>
    </w:p>
    <w:p w:rsidR="00D96E13" w:rsidRPr="00B827A4" w:rsidRDefault="00D96E13" w:rsidP="005366B0">
      <w:pPr>
        <w:rPr>
          <w:rFonts w:ascii="Times New Roman" w:hAnsi="Times New Roman"/>
          <w:sz w:val="22"/>
          <w:szCs w:val="22"/>
          <w:u w:val="single"/>
        </w:rPr>
      </w:pPr>
    </w:p>
    <w:p w:rsidR="009009D7" w:rsidRPr="00B827A4" w:rsidRDefault="009009D7">
      <w:pPr>
        <w:rPr>
          <w:rFonts w:ascii="Times New Roman" w:hAnsi="Times New Roman"/>
          <w:b/>
          <w:sz w:val="22"/>
          <w:szCs w:val="22"/>
        </w:rPr>
      </w:pPr>
    </w:p>
    <w:p w:rsidR="005366B0" w:rsidRPr="00B827A4" w:rsidRDefault="005366B0">
      <w:pPr>
        <w:rPr>
          <w:rFonts w:ascii="Times New Roman" w:hAnsi="Times New Roman"/>
          <w:b/>
          <w:sz w:val="22"/>
          <w:szCs w:val="22"/>
        </w:rPr>
      </w:pPr>
      <w:r w:rsidRPr="00B827A4">
        <w:rPr>
          <w:rFonts w:ascii="Times New Roman" w:hAnsi="Times New Roman"/>
          <w:b/>
          <w:sz w:val="22"/>
          <w:szCs w:val="22"/>
        </w:rPr>
        <w:t>PART I.  RESEARCH</w:t>
      </w:r>
    </w:p>
    <w:p w:rsidR="005366B0" w:rsidRPr="00B827A4" w:rsidRDefault="005366B0" w:rsidP="00470188">
      <w:pPr>
        <w:pStyle w:val="Heading2"/>
        <w:jc w:val="left"/>
        <w:rPr>
          <w:rFonts w:ascii="Times New Roman" w:hAnsi="Times New Roman"/>
          <w:sz w:val="22"/>
          <w:szCs w:val="22"/>
        </w:rPr>
      </w:pPr>
      <w:r w:rsidRPr="00B827A4">
        <w:rPr>
          <w:rFonts w:ascii="Times New Roman" w:hAnsi="Times New Roman"/>
          <w:sz w:val="22"/>
          <w:szCs w:val="22"/>
        </w:rPr>
        <w:t>Cumulative List of Publications</w:t>
      </w:r>
    </w:p>
    <w:tbl>
      <w:tblPr>
        <w:tblpPr w:leftFromText="180" w:rightFromText="180" w:vertAnchor="text" w:tblpY="1"/>
        <w:tblOverlap w:val="never"/>
        <w:tblW w:w="92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846"/>
        <w:gridCol w:w="3740"/>
        <w:gridCol w:w="2290"/>
        <w:gridCol w:w="1556"/>
      </w:tblGrid>
      <w:tr w:rsidR="005366B0" w:rsidRPr="00B827A4" w:rsidTr="000E43B6">
        <w:trPr>
          <w:cantSplit/>
        </w:trPr>
        <w:tc>
          <w:tcPr>
            <w:tcW w:w="838" w:type="dxa"/>
          </w:tcPr>
          <w:p w:rsidR="005366B0" w:rsidRPr="00B827A4" w:rsidRDefault="00C572FC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YEAR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PUBLISHER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CATEGORY</w:t>
            </w:r>
          </w:p>
        </w:tc>
      </w:tr>
      <w:tr w:rsidR="005366B0" w:rsidRPr="00B827A4" w:rsidTr="000E43B6">
        <w:trPr>
          <w:cantSplit/>
        </w:trPr>
        <w:tc>
          <w:tcPr>
            <w:tcW w:w="838" w:type="dxa"/>
          </w:tcPr>
          <w:p w:rsidR="005366B0" w:rsidRPr="00B827A4" w:rsidRDefault="005366B0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1998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“Special Objects:  Glass, Bone Artifacts, Terracotta Jewelry” </w:t>
            </w:r>
            <w:proofErr w:type="gramStart"/>
            <w:r w:rsidRPr="00B827A4">
              <w:rPr>
                <w:rFonts w:ascii="Times New Roman" w:hAnsi="Times New Roman"/>
                <w:sz w:val="22"/>
                <w:szCs w:val="22"/>
              </w:rPr>
              <w:t>in  J.C</w:t>
            </w:r>
            <w:proofErr w:type="gram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. Carter (ed.)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The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Chora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of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Metaponto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:  The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Necropoleis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University of Texas Press (1998), pp.</w:t>
            </w:r>
          </w:p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834-840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5366B0" w:rsidRPr="00B827A4" w:rsidTr="000E43B6">
        <w:trPr>
          <w:cantSplit/>
          <w:trHeight w:val="570"/>
        </w:trPr>
        <w:tc>
          <w:tcPr>
            <w:tcW w:w="838" w:type="dxa"/>
          </w:tcPr>
          <w:p w:rsidR="005366B0" w:rsidRPr="00B827A4" w:rsidRDefault="005366B0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2001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“Historical Greek Pottery from the Excavations of the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Odeion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>, Gortyn.”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ASAtene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76-78 (2001), pp. 235-247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5366B0" w:rsidRPr="00B827A4" w:rsidTr="000E43B6">
        <w:trPr>
          <w:cantSplit/>
          <w:trHeight w:val="795"/>
        </w:trPr>
        <w:tc>
          <w:tcPr>
            <w:tcW w:w="838" w:type="dxa"/>
          </w:tcPr>
          <w:p w:rsidR="005366B0" w:rsidRPr="00B827A4" w:rsidRDefault="005366B0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2002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Aphrati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and Kato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Syme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>:  Pottery, Continuity, and Cult in Late Archaic and Classical Crete.”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Hesperia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71 (2002),  pp. 41-90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5366B0" w:rsidRPr="00B827A4" w:rsidTr="000E43B6">
        <w:trPr>
          <w:cantSplit/>
        </w:trPr>
        <w:tc>
          <w:tcPr>
            <w:tcW w:w="838" w:type="dxa"/>
          </w:tcPr>
          <w:p w:rsidR="005366B0" w:rsidRPr="00B827A4" w:rsidRDefault="005366B0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2002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“Falling Masts, Rising Masters:  The Ethnography of Virtue in Caesar’s Account of the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Veneti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>.”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Journal of Philology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123 (2002), pp.  601-622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5366B0" w:rsidRPr="00B827A4" w:rsidTr="000E43B6">
        <w:trPr>
          <w:cantSplit/>
          <w:trHeight w:val="1317"/>
        </w:trPr>
        <w:tc>
          <w:tcPr>
            <w:tcW w:w="838" w:type="dxa"/>
          </w:tcPr>
          <w:p w:rsidR="005366B0" w:rsidRPr="00B827A4" w:rsidRDefault="005366B0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2004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proofErr w:type="spellStart"/>
            <w:r w:rsidRPr="00B827A4">
              <w:rPr>
                <w:rFonts w:ascii="Times New Roman" w:hAnsi="Times New Roman"/>
                <w:color w:val="000000"/>
                <w:sz w:val="22"/>
                <w:szCs w:val="22"/>
              </w:rPr>
              <w:t>Eleutherna</w:t>
            </w:r>
            <w:proofErr w:type="spellEnd"/>
            <w:r w:rsidRPr="00B82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and the Greek World, ca. 600-400 B.C." in </w:t>
            </w:r>
            <w:r w:rsidRPr="00B827A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Crete Beyond the Palaces:  Proceedings of the Crete 2000 Conference </w:t>
            </w:r>
            <w:r w:rsidRPr="00B82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(L.P. Day, M.S. </w:t>
            </w:r>
            <w:proofErr w:type="spellStart"/>
            <w:r w:rsidRPr="00B827A4">
              <w:rPr>
                <w:rFonts w:ascii="Times New Roman" w:hAnsi="Times New Roman"/>
                <w:color w:val="000000"/>
                <w:sz w:val="22"/>
                <w:szCs w:val="22"/>
              </w:rPr>
              <w:t>Mook</w:t>
            </w:r>
            <w:proofErr w:type="spellEnd"/>
            <w:r w:rsidRPr="00B82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and J.D. Muhly, eds.)  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INSTAP Academic Press</w:t>
            </w:r>
            <w:r w:rsidRPr="00B827A4">
              <w:rPr>
                <w:rFonts w:ascii="Times New Roman" w:hAnsi="Times New Roman"/>
                <w:color w:val="000000"/>
                <w:sz w:val="22"/>
                <w:szCs w:val="22"/>
              </w:rPr>
              <w:t>: Philadelphia, Penn. (2004), pp. 199-212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5366B0" w:rsidRPr="00B827A4" w:rsidTr="000E43B6">
        <w:trPr>
          <w:cantSplit/>
        </w:trPr>
        <w:tc>
          <w:tcPr>
            <w:tcW w:w="838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2005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“Archaeology of Empire:  Athens and Crete in the Fifth Century B.C.”  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American Journal of Archaeology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109 (2005), pp. 619-663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5366B0" w:rsidRPr="00B827A4" w:rsidTr="000E43B6">
        <w:trPr>
          <w:cantSplit/>
        </w:trPr>
        <w:tc>
          <w:tcPr>
            <w:tcW w:w="838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“Cretan Austerity in the Sixth Century B.C.,” in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Mylopotamos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from Antiquity to Today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pStyle w:val="Footnot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University of Crete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5366B0" w:rsidRPr="00B827A4" w:rsidTr="000E43B6">
        <w:trPr>
          <w:cantSplit/>
          <w:trHeight w:val="633"/>
        </w:trPr>
        <w:tc>
          <w:tcPr>
            <w:tcW w:w="838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Priniatikos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Pyrgos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>: Report on the 2007 Study Session, Greek Pottery.”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Institute for Aegean Prehistory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Technical Report</w:t>
            </w:r>
          </w:p>
        </w:tc>
      </w:tr>
      <w:tr w:rsidR="005366B0" w:rsidRPr="00B827A4" w:rsidTr="000E43B6">
        <w:trPr>
          <w:cantSplit/>
        </w:trPr>
        <w:tc>
          <w:tcPr>
            <w:tcW w:w="838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  <w:tc>
          <w:tcPr>
            <w:tcW w:w="374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Roussa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Ekklesia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, Part 1:  Religion and Politics in East Crete.” </w:t>
            </w:r>
          </w:p>
        </w:tc>
        <w:tc>
          <w:tcPr>
            <w:tcW w:w="2290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Journal of Archaeology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113</w:t>
            </w:r>
            <w:r w:rsidR="00E505A5" w:rsidRPr="00B827A4">
              <w:rPr>
                <w:rFonts w:ascii="Times New Roman" w:hAnsi="Times New Roman"/>
                <w:sz w:val="22"/>
                <w:szCs w:val="22"/>
              </w:rPr>
              <w:t xml:space="preserve"> (2009)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 w:rsidR="00E505A5" w:rsidRPr="00B827A4">
              <w:rPr>
                <w:rFonts w:ascii="Times New Roman" w:hAnsi="Times New Roman"/>
                <w:sz w:val="22"/>
                <w:szCs w:val="22"/>
              </w:rPr>
              <w:t xml:space="preserve">pp.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353-404</w:t>
            </w:r>
          </w:p>
        </w:tc>
        <w:tc>
          <w:tcPr>
            <w:tcW w:w="1556" w:type="dxa"/>
          </w:tcPr>
          <w:p w:rsidR="005366B0" w:rsidRPr="00B827A4" w:rsidRDefault="005366B0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“Rhodes,” “Cyclades,” “Gortyn”</w:t>
            </w:r>
          </w:p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Oxford Encyclopedia of Ancient Greece and Rome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Encyclopedia Entries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Roussa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Ekklesia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, Part 2:  Lamps, Drinking Vessels, and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Kernoi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.”  </w:t>
            </w:r>
          </w:p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American Journal of Archaeology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114 (2010): pp. 217-252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Priniatikos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Pyrgos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and the Classical Period in Eastern Crete:  Feasting and Island Identities” 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Hesperia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79 (2010):  pp. 305-349 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2010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Review of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Sjögren’s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Fragments of Archaic Crete:  Archaeological Studies on Time and Space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Journal of Archaeology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113 (2010):  pp. 664-666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Book Review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Review of Muhly’s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The Sanctuary of Hermes and Aphrodite at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Syme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Viannou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, IV:  Animal Images of Clay 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Classical Review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60 (2010):  553-555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Book Review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Crete in Transition: Pottery Styles and Island History in the Archaic and Classical Periods (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Previously listed as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Late Archaic and Classical Crete:  Pottery Styles and Island History) 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Hesperia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Supplement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Series 45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(2010)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Monograph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Review of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Kotsonas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’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The Archaeology of Tomb A1K1 of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Orthi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Petra in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Eleutherna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:  The Early Iron Age Pottery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Journal of Archaeology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115 (2011) (online)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Book Review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“Public Feasts and Private Symposia in the Archaic and Classical Periods,” in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STEGA:  The Archaeology of Houses and Households in Ancient Crete from the Neolithic Period through the Roman Era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Hesperia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Supplement Series 44 (2011):  pp. 381-391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“Island Archaeologies and the Economy of the Athenian Empire,” in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Trade and Finance in the 5</w:t>
            </w:r>
            <w:r w:rsidRPr="00B827A4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th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c. BC Aegean World (BYZAS 18)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(ed. A.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Slawisch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German Archaeological Institute Press, Istanbul (2013):  pp. 67-83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“Mind the Gap:  Knossos and Cretan Archaeology of the 6th Century,” in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Cultural Practices and Material Culture in Archaic and Classical Crete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(eds. O.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Pilz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and G.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Seelentag</w:t>
            </w:r>
            <w:proofErr w:type="spellEnd"/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290" w:type="dxa"/>
          </w:tcPr>
          <w:p w:rsidR="00CD5E08" w:rsidRPr="00B827A4" w:rsidRDefault="000D20A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C5D6E2" wp14:editId="5CD18320">
                      <wp:simplePos x="0" y="0"/>
                      <wp:positionH relativeFrom="column">
                        <wp:posOffset>-3511550</wp:posOffset>
                      </wp:positionH>
                      <wp:positionV relativeFrom="paragraph">
                        <wp:posOffset>819785</wp:posOffset>
                      </wp:positionV>
                      <wp:extent cx="5867400" cy="0"/>
                      <wp:effectExtent l="38100" t="38100" r="7620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59A7E3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6.5pt,64.55pt" to="185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D5E08" w:rsidRPr="00B827A4"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proofErr w:type="spellStart"/>
            <w:r w:rsidR="00CD5E08" w:rsidRPr="00B827A4">
              <w:rPr>
                <w:rFonts w:ascii="Times New Roman" w:hAnsi="Times New Roman"/>
                <w:sz w:val="22"/>
                <w:szCs w:val="22"/>
              </w:rPr>
              <w:t>Gruyter</w:t>
            </w:r>
            <w:proofErr w:type="spellEnd"/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20**</w:t>
            </w:r>
          </w:p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(C-1)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740" w:type="dxa"/>
          </w:tcPr>
          <w:p w:rsidR="00CD5E08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“Appendix F: 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Protogeometric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to Hellenistic Pottery,” in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The </w:t>
            </w: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Galatas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Survey:  Socio-Economic and Political Development of a Contested Territory in Central Crete during the Neolithic to Ottoman Periods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(ed. V.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Watrous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00535" w:rsidRPr="00B827A4" w:rsidRDefault="00200535" w:rsidP="000E43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(Previous Title: </w:t>
            </w:r>
            <w:r w:rsidRPr="00200535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 w:rsidRPr="00200535">
              <w:rPr>
                <w:rFonts w:ascii="Times New Roman" w:hAnsi="Times New Roman"/>
                <w:sz w:val="22"/>
                <w:szCs w:val="22"/>
              </w:rPr>
              <w:t>Galatas</w:t>
            </w:r>
            <w:proofErr w:type="spellEnd"/>
            <w:r w:rsidRPr="00200535">
              <w:rPr>
                <w:rFonts w:ascii="Times New Roman" w:hAnsi="Times New Roman"/>
                <w:sz w:val="22"/>
                <w:szCs w:val="22"/>
              </w:rPr>
              <w:t xml:space="preserve"> Survey Project:  </w:t>
            </w:r>
            <w:proofErr w:type="spellStart"/>
            <w:r w:rsidRPr="00200535">
              <w:rPr>
                <w:rFonts w:ascii="Times New Roman" w:hAnsi="Times New Roman"/>
                <w:sz w:val="22"/>
                <w:szCs w:val="22"/>
              </w:rPr>
              <w:t>Protogeomet</w:t>
            </w:r>
            <w:r>
              <w:rPr>
                <w:rFonts w:ascii="Times New Roman" w:hAnsi="Times New Roman"/>
                <w:sz w:val="22"/>
                <w:szCs w:val="22"/>
              </w:rPr>
              <w:t>ric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through Hellenistic Pottery</w:t>
            </w:r>
            <w:r w:rsidRPr="00200535">
              <w:rPr>
                <w:rFonts w:ascii="Times New Roman" w:hAnsi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Institute for Aegean Prehistory (INSTAP) Press, Philadelphia (2017):  pp. 227-233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Appendix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“Cretan Pottery in the Levant in the Fifth and Fourth Centuries B.C.E. and Its Historical Implications”</w:t>
            </w:r>
            <w:r w:rsidR="001B370F">
              <w:rPr>
                <w:rFonts w:ascii="Times New Roman" w:hAnsi="Times New Roman"/>
                <w:sz w:val="22"/>
                <w:szCs w:val="22"/>
              </w:rPr>
              <w:t xml:space="preserve"> (A. </w:t>
            </w:r>
            <w:proofErr w:type="spellStart"/>
            <w:r w:rsidR="001B370F">
              <w:rPr>
                <w:rFonts w:ascii="Times New Roman" w:hAnsi="Times New Roman"/>
                <w:sz w:val="22"/>
                <w:szCs w:val="22"/>
              </w:rPr>
              <w:t>Gilboa</w:t>
            </w:r>
            <w:proofErr w:type="spellEnd"/>
            <w:r w:rsidR="001B370F">
              <w:rPr>
                <w:rFonts w:ascii="Times New Roman" w:hAnsi="Times New Roman"/>
                <w:sz w:val="22"/>
                <w:szCs w:val="22"/>
              </w:rPr>
              <w:t xml:space="preserve">, Y. </w:t>
            </w:r>
            <w:proofErr w:type="spellStart"/>
            <w:r w:rsidR="001B370F">
              <w:rPr>
                <w:rFonts w:ascii="Times New Roman" w:hAnsi="Times New Roman"/>
                <w:sz w:val="22"/>
                <w:szCs w:val="22"/>
              </w:rPr>
              <w:t>Shalev</w:t>
            </w:r>
            <w:proofErr w:type="spellEnd"/>
            <w:r w:rsidR="001B370F">
              <w:rPr>
                <w:rFonts w:ascii="Times New Roman" w:hAnsi="Times New Roman"/>
                <w:sz w:val="22"/>
                <w:szCs w:val="22"/>
              </w:rPr>
              <w:t xml:space="preserve">, G. Lehmann, H. Mommsen, B. Erickson, E. </w:t>
            </w:r>
            <w:proofErr w:type="spellStart"/>
            <w:r w:rsidR="001B370F">
              <w:rPr>
                <w:rFonts w:ascii="Times New Roman" w:hAnsi="Times New Roman"/>
                <w:sz w:val="22"/>
                <w:szCs w:val="22"/>
              </w:rPr>
              <w:t>Nodarou</w:t>
            </w:r>
            <w:proofErr w:type="spellEnd"/>
            <w:r w:rsidR="001B370F">
              <w:rPr>
                <w:rFonts w:ascii="Times New Roman" w:hAnsi="Times New Roman"/>
                <w:sz w:val="22"/>
                <w:szCs w:val="22"/>
              </w:rPr>
              <w:t>, and D. Ben-</w:t>
            </w:r>
            <w:proofErr w:type="spellStart"/>
            <w:r w:rsidR="001B370F">
              <w:rPr>
                <w:rFonts w:ascii="Times New Roman" w:hAnsi="Times New Roman"/>
                <w:sz w:val="22"/>
                <w:szCs w:val="22"/>
              </w:rPr>
              <w:t>Shlomo</w:t>
            </w:r>
            <w:proofErr w:type="spellEnd"/>
            <w:r w:rsidR="001B370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Journal of Archaeology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121 (2017):  pp. 559-593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22*</w:t>
            </w:r>
          </w:p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(B-1)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Lerna</w:t>
            </w:r>
            <w:proofErr w:type="spellEnd"/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, the Historical Greek Village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Lerna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, a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Preclassical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Site in the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Argolid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>:  Results of Excavations Conducted by the American School of Classical Studies at Athens)</w:t>
            </w:r>
            <w:r w:rsidR="00200535">
              <w:rPr>
                <w:rFonts w:ascii="Times New Roman" w:hAnsi="Times New Roman"/>
                <w:sz w:val="22"/>
                <w:szCs w:val="22"/>
              </w:rPr>
              <w:t>(Previous Title:</w:t>
            </w:r>
            <w:r w:rsidR="00200535">
              <w:t xml:space="preserve"> </w:t>
            </w:r>
            <w:proofErr w:type="spellStart"/>
            <w:r w:rsidR="00200535" w:rsidRPr="00200535">
              <w:rPr>
                <w:rFonts w:ascii="Times New Roman" w:hAnsi="Times New Roman"/>
                <w:sz w:val="22"/>
                <w:szCs w:val="22"/>
              </w:rPr>
              <w:t>Lerna</w:t>
            </w:r>
            <w:proofErr w:type="spellEnd"/>
            <w:r w:rsidR="00200535" w:rsidRPr="00200535">
              <w:rPr>
                <w:rFonts w:ascii="Times New Roman" w:hAnsi="Times New Roman"/>
                <w:sz w:val="22"/>
                <w:szCs w:val="22"/>
              </w:rPr>
              <w:t>, the Historical Greek Village:  Geometric Tombs, Late Archaic through Middle Hellenistic Wells, and Miscellaneous Debris from the Settlement</w:t>
            </w:r>
            <w:r w:rsidR="0020053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American School of Classical Studies at Athens Press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Monograph</w:t>
            </w:r>
          </w:p>
        </w:tc>
      </w:tr>
      <w:tr w:rsidR="00CD5E08" w:rsidRPr="00B827A4" w:rsidTr="000E43B6">
        <w:trPr>
          <w:cantSplit/>
        </w:trPr>
        <w:tc>
          <w:tcPr>
            <w:tcW w:w="838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4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740" w:type="dxa"/>
          </w:tcPr>
          <w:p w:rsidR="00CD5E08" w:rsidRPr="00B827A4" w:rsidRDefault="00CD5E08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Review of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Bresson’s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The Making of the Greek Economy:  Institutions, Markets, and Growth in the City-States</w:t>
            </w:r>
          </w:p>
        </w:tc>
        <w:tc>
          <w:tcPr>
            <w:tcW w:w="2290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Journal of Archaeology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 122 (2018) (online)</w:t>
            </w:r>
          </w:p>
        </w:tc>
        <w:tc>
          <w:tcPr>
            <w:tcW w:w="1556" w:type="dxa"/>
          </w:tcPr>
          <w:p w:rsidR="00CD5E08" w:rsidRPr="00B827A4" w:rsidRDefault="00CD5E08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Book Review</w:t>
            </w:r>
          </w:p>
        </w:tc>
      </w:tr>
      <w:tr w:rsidR="000E43B6" w:rsidRPr="00B827A4" w:rsidTr="000E43B6">
        <w:trPr>
          <w:cantSplit/>
        </w:trPr>
        <w:tc>
          <w:tcPr>
            <w:tcW w:w="838" w:type="dxa"/>
          </w:tcPr>
          <w:p w:rsidR="000E43B6" w:rsidRDefault="000E43B6" w:rsidP="000E43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0E43B6" w:rsidRPr="00B827A4" w:rsidRDefault="000E43B6" w:rsidP="000E43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:rsidR="000E43B6" w:rsidRPr="00B827A4" w:rsidRDefault="000E43B6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3740" w:type="dxa"/>
          </w:tcPr>
          <w:p w:rsidR="000E43B6" w:rsidRPr="00B827A4" w:rsidRDefault="000E43B6" w:rsidP="000E43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Review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of  James’s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44B4">
              <w:rPr>
                <w:rFonts w:ascii="Times New Roman" w:hAnsi="Times New Roman"/>
                <w:i/>
                <w:sz w:val="22"/>
                <w:szCs w:val="22"/>
              </w:rPr>
              <w:t>Hellenistic Pottery, The Fine Wares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8544B4">
              <w:rPr>
                <w:rFonts w:ascii="Times New Roman" w:hAnsi="Times New Roman"/>
                <w:i/>
                <w:sz w:val="22"/>
                <w:szCs w:val="22"/>
              </w:rPr>
              <w:t>Corinth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7.7)</w:t>
            </w:r>
          </w:p>
        </w:tc>
        <w:tc>
          <w:tcPr>
            <w:tcW w:w="2290" w:type="dxa"/>
          </w:tcPr>
          <w:p w:rsidR="000E43B6" w:rsidRPr="00B827A4" w:rsidRDefault="000E43B6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Journal of Hellenistic Pottery and Material Culture (JHP) </w:t>
            </w:r>
            <w:r w:rsidRPr="008544B4">
              <w:rPr>
                <w:rFonts w:ascii="Times New Roman" w:hAnsi="Times New Roman"/>
                <w:sz w:val="22"/>
                <w:szCs w:val="22"/>
              </w:rPr>
              <w:t>4 (2019), pp. 145-149.</w:t>
            </w:r>
          </w:p>
        </w:tc>
        <w:tc>
          <w:tcPr>
            <w:tcW w:w="1556" w:type="dxa"/>
          </w:tcPr>
          <w:p w:rsidR="000E43B6" w:rsidRPr="00B827A4" w:rsidRDefault="000E43B6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Book Review</w:t>
            </w:r>
          </w:p>
        </w:tc>
      </w:tr>
      <w:tr w:rsidR="000E43B6" w:rsidRPr="00B827A4" w:rsidTr="000E43B6">
        <w:trPr>
          <w:cantSplit/>
        </w:trPr>
        <w:tc>
          <w:tcPr>
            <w:tcW w:w="838" w:type="dxa"/>
          </w:tcPr>
          <w:p w:rsidR="000E43B6" w:rsidRDefault="000E43B6" w:rsidP="000E43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46" w:type="dxa"/>
          </w:tcPr>
          <w:p w:rsidR="000E43B6" w:rsidRPr="00B827A4" w:rsidRDefault="000E43B6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740" w:type="dxa"/>
          </w:tcPr>
          <w:p w:rsidR="000E43B6" w:rsidRPr="00B827A4" w:rsidRDefault="000E43B6" w:rsidP="000E43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“Conceptualizing Southeastern Crete in the Archaic through Hellenistic Periods,” in </w:t>
            </w:r>
            <w:r w:rsidRPr="00880620">
              <w:rPr>
                <w:rFonts w:ascii="Times New Roman" w:hAnsi="Times New Roman"/>
                <w:i/>
                <w:sz w:val="22"/>
                <w:szCs w:val="22"/>
              </w:rPr>
              <w:t xml:space="preserve">South by Southeast:  The History and Archaeology of Southeast Crete, from </w:t>
            </w:r>
            <w:proofErr w:type="spellStart"/>
            <w:r w:rsidRPr="00880620">
              <w:rPr>
                <w:rFonts w:ascii="Times New Roman" w:hAnsi="Times New Roman"/>
                <w:i/>
                <w:sz w:val="22"/>
                <w:szCs w:val="22"/>
              </w:rPr>
              <w:t>Myrtos</w:t>
            </w:r>
            <w:proofErr w:type="spellEnd"/>
            <w:r w:rsidRPr="00880620">
              <w:rPr>
                <w:rFonts w:ascii="Times New Roman" w:hAnsi="Times New Roman"/>
                <w:i/>
                <w:sz w:val="22"/>
                <w:szCs w:val="22"/>
              </w:rPr>
              <w:t xml:space="preserve"> to Kato </w:t>
            </w:r>
            <w:proofErr w:type="spellStart"/>
            <w:r w:rsidRPr="00880620">
              <w:rPr>
                <w:rFonts w:ascii="Times New Roman" w:hAnsi="Times New Roman"/>
                <w:i/>
                <w:sz w:val="22"/>
                <w:szCs w:val="22"/>
              </w:rPr>
              <w:t>Zakros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(eds. E.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Oddo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and K.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Chalikias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90" w:type="dxa"/>
          </w:tcPr>
          <w:p w:rsidR="000E43B6" w:rsidRPr="00B827A4" w:rsidRDefault="000E43B6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Archaeopress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Oxford</w:t>
            </w:r>
          </w:p>
        </w:tc>
        <w:tc>
          <w:tcPr>
            <w:tcW w:w="1556" w:type="dxa"/>
          </w:tcPr>
          <w:p w:rsidR="000E43B6" w:rsidRPr="00B827A4" w:rsidRDefault="000E43B6" w:rsidP="000E43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Article</w:t>
            </w:r>
          </w:p>
        </w:tc>
      </w:tr>
    </w:tbl>
    <w:p w:rsidR="00960A29" w:rsidRDefault="000E43B6" w:rsidP="000E43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textWrapping" w:clear="all"/>
      </w:r>
    </w:p>
    <w:p w:rsidR="005366B0" w:rsidRPr="00960A29" w:rsidRDefault="002C61E0">
      <w:pPr>
        <w:rPr>
          <w:rFonts w:ascii="Times New Roman" w:hAnsi="Times New Roman"/>
          <w:sz w:val="22"/>
          <w:szCs w:val="22"/>
        </w:rPr>
      </w:pPr>
      <w:r w:rsidRPr="002C61E0">
        <w:rPr>
          <w:rFonts w:ascii="Times New Roman" w:hAnsi="Times New Roman"/>
          <w:b/>
          <w:sz w:val="22"/>
          <w:szCs w:val="22"/>
        </w:rPr>
        <w:lastRenderedPageBreak/>
        <w:t>Work In Progress</w:t>
      </w:r>
    </w:p>
    <w:tbl>
      <w:tblPr>
        <w:tblW w:w="924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5130"/>
        <w:gridCol w:w="2160"/>
        <w:gridCol w:w="1350"/>
      </w:tblGrid>
      <w:tr w:rsidR="002C61E0" w:rsidRPr="00B827A4" w:rsidTr="002C61E0">
        <w:trPr>
          <w:cantSplit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Pr="00B827A4" w:rsidRDefault="002C61E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Default="002C61E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Title and Authors</w:t>
            </w:r>
          </w:p>
          <w:p w:rsidR="002C61E0" w:rsidRPr="00B827A4" w:rsidRDefault="002C61E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Pr="00B827A4" w:rsidRDefault="002C61E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Potential </w:t>
            </w: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Publisher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Pr="00B827A4" w:rsidRDefault="002C61E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Category</w:t>
            </w:r>
          </w:p>
        </w:tc>
      </w:tr>
      <w:tr w:rsidR="002C61E0" w:rsidRPr="00B827A4" w:rsidTr="002C61E0">
        <w:trPr>
          <w:cantSplit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Pr="002C61E0" w:rsidRDefault="002C61E0" w:rsidP="000E43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Pr="00B827A4" w:rsidRDefault="002C61E0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C61E0">
              <w:rPr>
                <w:i/>
              </w:rPr>
              <w:t>The Athenian Empire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Default="00096BC4" w:rsidP="000E43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t>Cambridge University Press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1E0" w:rsidRPr="00B827A4" w:rsidRDefault="002C61E0" w:rsidP="000E43B6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Book</w:t>
            </w:r>
          </w:p>
        </w:tc>
      </w:tr>
    </w:tbl>
    <w:p w:rsidR="00960A29" w:rsidRDefault="00960A29">
      <w:pPr>
        <w:rPr>
          <w:rFonts w:ascii="Times New Roman" w:hAnsi="Times New Roman"/>
          <w:sz w:val="22"/>
          <w:szCs w:val="22"/>
        </w:rPr>
      </w:pPr>
    </w:p>
    <w:p w:rsidR="005366B0" w:rsidRPr="00B827A4" w:rsidRDefault="000E43B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PART II</w:t>
      </w:r>
      <w:r w:rsidR="005366B0" w:rsidRPr="00B827A4">
        <w:rPr>
          <w:rFonts w:ascii="Times New Roman" w:hAnsi="Times New Roman"/>
          <w:b/>
          <w:sz w:val="22"/>
          <w:szCs w:val="22"/>
        </w:rPr>
        <w:t>.  PROFESSIONAL ACTIVITIES</w:t>
      </w:r>
    </w:p>
    <w:p w:rsidR="008B33EA" w:rsidRPr="00B827A4" w:rsidRDefault="008B33EA">
      <w:pPr>
        <w:rPr>
          <w:rFonts w:ascii="Times New Roman" w:hAnsi="Times New Roman"/>
          <w:b/>
          <w:sz w:val="22"/>
          <w:szCs w:val="22"/>
        </w:rPr>
      </w:pPr>
    </w:p>
    <w:p w:rsidR="005366B0" w:rsidRDefault="008B33EA">
      <w:pPr>
        <w:rPr>
          <w:rFonts w:ascii="Times New Roman" w:hAnsi="Times New Roman"/>
          <w:b/>
          <w:sz w:val="22"/>
          <w:szCs w:val="22"/>
          <w:u w:val="single"/>
        </w:rPr>
      </w:pPr>
      <w:r w:rsidRPr="000D20A8">
        <w:rPr>
          <w:rFonts w:ascii="Times New Roman" w:hAnsi="Times New Roman"/>
          <w:b/>
          <w:sz w:val="22"/>
          <w:szCs w:val="22"/>
          <w:u w:val="single"/>
        </w:rPr>
        <w:t>Lectures Presented</w:t>
      </w:r>
    </w:p>
    <w:p w:rsidR="000D20A8" w:rsidRPr="000D20A8" w:rsidRDefault="000D20A8">
      <w:pPr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33EA" w:rsidRPr="00B827A4" w:rsidTr="008B33EA">
        <w:tc>
          <w:tcPr>
            <w:tcW w:w="3116" w:type="dxa"/>
          </w:tcPr>
          <w:p w:rsidR="008B33EA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Month/Year</w:t>
            </w:r>
          </w:p>
        </w:tc>
        <w:tc>
          <w:tcPr>
            <w:tcW w:w="3117" w:type="dxa"/>
          </w:tcPr>
          <w:p w:rsidR="008B33EA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3117" w:type="dxa"/>
          </w:tcPr>
          <w:p w:rsidR="008B33EA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Meeting/Place</w:t>
            </w:r>
          </w:p>
        </w:tc>
      </w:tr>
      <w:tr w:rsidR="008B33EA" w:rsidRPr="00B827A4" w:rsidTr="008B33EA">
        <w:tc>
          <w:tcPr>
            <w:tcW w:w="3116" w:type="dxa"/>
          </w:tcPr>
          <w:p w:rsidR="008B33EA" w:rsidRPr="00B827A4" w:rsidRDefault="009B287E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September/</w:t>
            </w:r>
            <w:r w:rsidR="00AB1127" w:rsidRPr="00B827A4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3117" w:type="dxa"/>
          </w:tcPr>
          <w:p w:rsidR="008B33EA" w:rsidRPr="00B827A4" w:rsidRDefault="009B28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“Archaic Crete, Alternative Greek Histories”</w:t>
            </w:r>
          </w:p>
        </w:tc>
        <w:tc>
          <w:tcPr>
            <w:tcW w:w="3117" w:type="dxa"/>
          </w:tcPr>
          <w:p w:rsidR="008B33EA" w:rsidRPr="00B827A4" w:rsidRDefault="009B287E" w:rsidP="002324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University of Leicester</w:t>
            </w:r>
            <w:r w:rsidR="004370B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32480">
              <w:rPr>
                <w:rFonts w:ascii="Times New Roman" w:hAnsi="Times New Roman"/>
                <w:sz w:val="22"/>
                <w:szCs w:val="22"/>
              </w:rPr>
              <w:t>conference</w:t>
            </w:r>
            <w:r w:rsidR="004370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8B33EA" w:rsidRPr="00B827A4" w:rsidTr="008B33EA">
        <w:tc>
          <w:tcPr>
            <w:tcW w:w="3116" w:type="dxa"/>
          </w:tcPr>
          <w:p w:rsidR="008B33EA" w:rsidRPr="00B827A4" w:rsidRDefault="009B287E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February/</w:t>
            </w:r>
            <w:r w:rsidR="00AB1127" w:rsidRPr="00B827A4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3117" w:type="dxa"/>
          </w:tcPr>
          <w:p w:rsidR="008B33EA" w:rsidRPr="00B827A4" w:rsidRDefault="009B28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Lerna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Wells and Argive History”</w:t>
            </w:r>
          </w:p>
        </w:tc>
        <w:tc>
          <w:tcPr>
            <w:tcW w:w="3117" w:type="dxa"/>
          </w:tcPr>
          <w:p w:rsidR="008B33EA" w:rsidRPr="00B827A4" w:rsidRDefault="009B287E" w:rsidP="002324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Inscribed in Clay:  Theorizing the Link between Pottery and History/Florida State University</w:t>
            </w:r>
            <w:r w:rsidR="004370B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32480">
              <w:rPr>
                <w:rFonts w:ascii="Times New Roman" w:hAnsi="Times New Roman"/>
                <w:sz w:val="22"/>
                <w:szCs w:val="22"/>
              </w:rPr>
              <w:t>conference</w:t>
            </w:r>
            <w:r w:rsidR="004370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8B33EA" w:rsidRPr="00B827A4" w:rsidTr="008B33EA">
        <w:tc>
          <w:tcPr>
            <w:tcW w:w="3116" w:type="dxa"/>
          </w:tcPr>
          <w:p w:rsidR="008B33EA" w:rsidRPr="00B827A4" w:rsidRDefault="009B287E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May/</w:t>
            </w:r>
            <w:r w:rsidR="00AB1127" w:rsidRPr="00B827A4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3117" w:type="dxa"/>
          </w:tcPr>
          <w:p w:rsidR="008B33EA" w:rsidRPr="00B827A4" w:rsidRDefault="009B28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“Cretan Exceptionalism?  Integrating Epigraphical and Archaeological Approaches”</w:t>
            </w:r>
          </w:p>
        </w:tc>
        <w:tc>
          <w:tcPr>
            <w:tcW w:w="3117" w:type="dxa"/>
          </w:tcPr>
          <w:p w:rsidR="008B33EA" w:rsidRPr="00B827A4" w:rsidRDefault="009B287E" w:rsidP="009B287E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Approaches to Data Scarcity in Ancient History/Stanford University</w:t>
            </w:r>
            <w:r w:rsidR="004370B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32480">
              <w:rPr>
                <w:rFonts w:ascii="Times New Roman" w:hAnsi="Times New Roman"/>
                <w:sz w:val="22"/>
                <w:szCs w:val="22"/>
              </w:rPr>
              <w:t>invited lecture</w:t>
            </w:r>
            <w:r w:rsidR="004370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8B33EA" w:rsidRPr="00B827A4" w:rsidTr="000D20A8">
        <w:trPr>
          <w:trHeight w:val="1070"/>
        </w:trPr>
        <w:tc>
          <w:tcPr>
            <w:tcW w:w="3116" w:type="dxa"/>
          </w:tcPr>
          <w:p w:rsidR="008B33EA" w:rsidRPr="00B827A4" w:rsidRDefault="009B287E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July/</w:t>
            </w:r>
            <w:r w:rsidR="00AB1127" w:rsidRPr="00B827A4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117" w:type="dxa"/>
          </w:tcPr>
          <w:p w:rsidR="008B33EA" w:rsidRPr="00B827A4" w:rsidRDefault="009B28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“Conceptualizing Southeastern Crete in the Archaic through Hellenistic Periods”</w:t>
            </w:r>
          </w:p>
        </w:tc>
        <w:tc>
          <w:tcPr>
            <w:tcW w:w="3117" w:type="dxa"/>
          </w:tcPr>
          <w:p w:rsidR="008B33EA" w:rsidRPr="00B827A4" w:rsidRDefault="009B287E" w:rsidP="009E37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South by Southeast:  The History and Archaeology of Southeast Crete</w:t>
            </w:r>
            <w:r w:rsidR="009E37D7" w:rsidRPr="00B827A4">
              <w:rPr>
                <w:rFonts w:ascii="Times New Roman" w:hAnsi="Times New Roman"/>
                <w:sz w:val="22"/>
                <w:szCs w:val="22"/>
              </w:rPr>
              <w:t xml:space="preserve">/INSTAP </w:t>
            </w:r>
            <w:proofErr w:type="spellStart"/>
            <w:r w:rsidR="009E37D7" w:rsidRPr="00B827A4">
              <w:rPr>
                <w:rFonts w:ascii="Times New Roman" w:hAnsi="Times New Roman"/>
                <w:sz w:val="22"/>
                <w:szCs w:val="22"/>
              </w:rPr>
              <w:t>Pachiamos</w:t>
            </w:r>
            <w:proofErr w:type="spellEnd"/>
            <w:r w:rsidR="009E37D7" w:rsidRPr="00B8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Crete</w:t>
            </w:r>
            <w:r w:rsidR="004370B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32480">
              <w:rPr>
                <w:rFonts w:ascii="Times New Roman" w:hAnsi="Times New Roman"/>
                <w:sz w:val="22"/>
                <w:szCs w:val="22"/>
              </w:rPr>
              <w:t>conference</w:t>
            </w:r>
            <w:r w:rsidR="004370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E43B6" w:rsidRPr="00B827A4" w:rsidTr="000D20A8">
        <w:trPr>
          <w:trHeight w:val="1070"/>
        </w:trPr>
        <w:tc>
          <w:tcPr>
            <w:tcW w:w="3116" w:type="dxa"/>
          </w:tcPr>
          <w:p w:rsidR="000E43B6" w:rsidRPr="00B827A4" w:rsidRDefault="000E43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October/2018</w:t>
            </w:r>
          </w:p>
        </w:tc>
        <w:tc>
          <w:tcPr>
            <w:tcW w:w="3117" w:type="dxa"/>
          </w:tcPr>
          <w:p w:rsidR="000E43B6" w:rsidRPr="00B827A4" w:rsidRDefault="000E43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“Cretan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Exceptionalism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 Austerity, Economic Growth, and State Formation”</w:t>
            </w:r>
          </w:p>
        </w:tc>
        <w:tc>
          <w:tcPr>
            <w:tcW w:w="3117" w:type="dxa"/>
          </w:tcPr>
          <w:p w:rsidR="000E43B6" w:rsidRDefault="000E43B6" w:rsidP="009E37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U.T. Austin invited lecture/</w:t>
            </w:r>
          </w:p>
          <w:p w:rsidR="000E43B6" w:rsidRPr="00B827A4" w:rsidRDefault="000E43B6" w:rsidP="009E37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AIA Austin chapter</w:t>
            </w:r>
          </w:p>
        </w:tc>
      </w:tr>
    </w:tbl>
    <w:p w:rsidR="000D20A8" w:rsidRDefault="000D20A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2941B2" w:rsidRDefault="002941B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2941B2" w:rsidRDefault="002941B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366B0" w:rsidRDefault="00AB1127">
      <w:pPr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  <w:r w:rsidRPr="000D20A8">
        <w:rPr>
          <w:rFonts w:ascii="Times New Roman" w:hAnsi="Times New Roman"/>
          <w:b/>
          <w:sz w:val="22"/>
          <w:szCs w:val="22"/>
          <w:u w:val="single"/>
        </w:rPr>
        <w:t>Grants and Contracts</w:t>
      </w:r>
    </w:p>
    <w:p w:rsidR="000D20A8" w:rsidRPr="000D20A8" w:rsidRDefault="000D20A8">
      <w:pPr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B33EA" w:rsidRPr="00B827A4" w:rsidTr="008B33EA">
        <w:tc>
          <w:tcPr>
            <w:tcW w:w="1870" w:type="dxa"/>
          </w:tcPr>
          <w:p w:rsidR="008B33EA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Years</w:t>
            </w:r>
          </w:p>
        </w:tc>
        <w:tc>
          <w:tcPr>
            <w:tcW w:w="1870" w:type="dxa"/>
          </w:tcPr>
          <w:p w:rsidR="00960A29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Source</w:t>
            </w:r>
          </w:p>
        </w:tc>
        <w:tc>
          <w:tcPr>
            <w:tcW w:w="1870" w:type="dxa"/>
          </w:tcPr>
          <w:p w:rsidR="008B33EA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1870" w:type="dxa"/>
          </w:tcPr>
          <w:p w:rsidR="008B33EA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  <w:tc>
          <w:tcPr>
            <w:tcW w:w="1870" w:type="dxa"/>
          </w:tcPr>
          <w:p w:rsidR="008B33EA" w:rsidRPr="00B827A4" w:rsidRDefault="008B33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PI</w:t>
            </w:r>
          </w:p>
        </w:tc>
      </w:tr>
      <w:tr w:rsidR="008B33EA" w:rsidRPr="00B827A4" w:rsidTr="008B33EA">
        <w:tc>
          <w:tcPr>
            <w:tcW w:w="1870" w:type="dxa"/>
          </w:tcPr>
          <w:p w:rsidR="008B33EA" w:rsidRPr="00B827A4" w:rsidRDefault="00AB0932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2016-2017</w:t>
            </w:r>
          </w:p>
        </w:tc>
        <w:tc>
          <w:tcPr>
            <w:tcW w:w="1870" w:type="dxa"/>
          </w:tcPr>
          <w:p w:rsidR="008B33EA" w:rsidRPr="00B827A4" w:rsidRDefault="009E37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Academic Senate Research Travel Grant</w:t>
            </w:r>
          </w:p>
        </w:tc>
        <w:tc>
          <w:tcPr>
            <w:tcW w:w="1870" w:type="dxa"/>
          </w:tcPr>
          <w:p w:rsidR="008B33EA" w:rsidRPr="00B827A4" w:rsidRDefault="008A01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“</w:t>
            </w:r>
            <w:r w:rsidR="009E37D7" w:rsidRPr="00B827A4">
              <w:rPr>
                <w:rFonts w:ascii="Times New Roman" w:hAnsi="Times New Roman"/>
                <w:sz w:val="22"/>
                <w:szCs w:val="22"/>
              </w:rPr>
              <w:t xml:space="preserve">Ceramic Evidence and Early Greek Temples at </w:t>
            </w:r>
            <w:proofErr w:type="spellStart"/>
            <w:r w:rsidR="009E37D7" w:rsidRPr="00B827A4">
              <w:rPr>
                <w:rFonts w:ascii="Times New Roman" w:hAnsi="Times New Roman"/>
                <w:sz w:val="22"/>
                <w:szCs w:val="22"/>
              </w:rPr>
              <w:t>Selinunte</w:t>
            </w:r>
            <w:proofErr w:type="spellEnd"/>
            <w:r w:rsidR="009E37D7" w:rsidRPr="00B827A4">
              <w:rPr>
                <w:rFonts w:ascii="Times New Roman" w:hAnsi="Times New Roman"/>
                <w:sz w:val="22"/>
                <w:szCs w:val="22"/>
              </w:rPr>
              <w:t>, Sicily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1870" w:type="dxa"/>
          </w:tcPr>
          <w:p w:rsidR="008B33EA" w:rsidRPr="00B827A4" w:rsidRDefault="00AB1127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$1,854</w:t>
            </w:r>
          </w:p>
        </w:tc>
        <w:tc>
          <w:tcPr>
            <w:tcW w:w="1870" w:type="dxa"/>
          </w:tcPr>
          <w:p w:rsidR="008B33EA" w:rsidRPr="00B827A4" w:rsidRDefault="00FC051F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Brice Erickson</w:t>
            </w:r>
          </w:p>
        </w:tc>
      </w:tr>
      <w:tr w:rsidR="009E63B3" w:rsidRPr="00B827A4" w:rsidTr="008B33EA"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2018-2019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University of California-Historically Black Colleges and Universities Initiative (UC-HBCU)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“Citizenship and Freedom in the Classical World”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$61,244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Brice Erickson</w:t>
            </w:r>
          </w:p>
        </w:tc>
      </w:tr>
      <w:tr w:rsidR="009E63B3" w:rsidRPr="00B827A4" w:rsidTr="008B33EA"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2018-2019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Academic Senate Research Travel Grant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“The Athenian Empire: An Archaeological Perspective”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$1,440</w:t>
            </w:r>
          </w:p>
        </w:tc>
        <w:tc>
          <w:tcPr>
            <w:tcW w:w="1870" w:type="dxa"/>
          </w:tcPr>
          <w:p w:rsidR="009E63B3" w:rsidRPr="00B827A4" w:rsidRDefault="009E63B3" w:rsidP="009E63B3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Brice Erickson</w:t>
            </w:r>
          </w:p>
        </w:tc>
      </w:tr>
      <w:tr w:rsidR="000E43B6" w:rsidRPr="00B827A4" w:rsidTr="008B33EA">
        <w:tc>
          <w:tcPr>
            <w:tcW w:w="1870" w:type="dxa"/>
          </w:tcPr>
          <w:p w:rsidR="000E43B6" w:rsidRDefault="004B5DDE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2020-2023</w:t>
            </w:r>
          </w:p>
          <w:p w:rsidR="000E43B6" w:rsidRPr="00B827A4" w:rsidRDefault="000E43B6" w:rsidP="009E63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0E43B6" w:rsidRPr="00B827A4" w:rsidRDefault="004B5DDE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University of California-Historically Black Colleges and Universities Initiative (UC-HBCU), 3-year grant </w:t>
            </w:r>
          </w:p>
        </w:tc>
        <w:tc>
          <w:tcPr>
            <w:tcW w:w="1870" w:type="dxa"/>
          </w:tcPr>
          <w:p w:rsidR="000E43B6" w:rsidRPr="00B827A4" w:rsidRDefault="005D707F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“Citizenship and Freedom in the Classical World”</w:t>
            </w:r>
          </w:p>
        </w:tc>
        <w:tc>
          <w:tcPr>
            <w:tcW w:w="1870" w:type="dxa"/>
          </w:tcPr>
          <w:p w:rsidR="000E43B6" w:rsidRPr="00B827A4" w:rsidRDefault="004B5DDE" w:rsidP="004B5DD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$230,616</w:t>
            </w:r>
          </w:p>
        </w:tc>
        <w:tc>
          <w:tcPr>
            <w:tcW w:w="1870" w:type="dxa"/>
          </w:tcPr>
          <w:p w:rsidR="000E43B6" w:rsidRPr="00B827A4" w:rsidRDefault="008A0136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Brice Erickson</w:t>
            </w:r>
          </w:p>
        </w:tc>
      </w:tr>
      <w:tr w:rsidR="000E43B6" w:rsidRPr="00B827A4" w:rsidTr="008B33EA">
        <w:tc>
          <w:tcPr>
            <w:tcW w:w="1870" w:type="dxa"/>
          </w:tcPr>
          <w:p w:rsidR="000E43B6" w:rsidRDefault="008A0136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2019-2020</w:t>
            </w:r>
          </w:p>
        </w:tc>
        <w:tc>
          <w:tcPr>
            <w:tcW w:w="1870" w:type="dxa"/>
          </w:tcPr>
          <w:p w:rsidR="000E43B6" w:rsidRPr="00B827A4" w:rsidRDefault="008A0136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Academic Senate Research Travel Grant</w:t>
            </w:r>
          </w:p>
        </w:tc>
        <w:tc>
          <w:tcPr>
            <w:tcW w:w="1870" w:type="dxa"/>
          </w:tcPr>
          <w:p w:rsidR="000E43B6" w:rsidRPr="00B827A4" w:rsidRDefault="008A0136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“Greek Archaeology:  Urban Survey 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Aigeira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and Cretan Overseas Trade”</w:t>
            </w:r>
          </w:p>
        </w:tc>
        <w:tc>
          <w:tcPr>
            <w:tcW w:w="1870" w:type="dxa"/>
          </w:tcPr>
          <w:p w:rsidR="000E43B6" w:rsidRPr="00B827A4" w:rsidRDefault="004B5DDE" w:rsidP="004B5DD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$5,872</w:t>
            </w:r>
          </w:p>
        </w:tc>
        <w:tc>
          <w:tcPr>
            <w:tcW w:w="1870" w:type="dxa"/>
          </w:tcPr>
          <w:p w:rsidR="000E43B6" w:rsidRPr="00B827A4" w:rsidRDefault="008A0136" w:rsidP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Brice Erickson</w:t>
            </w:r>
          </w:p>
        </w:tc>
      </w:tr>
    </w:tbl>
    <w:p w:rsidR="000E43B6" w:rsidRDefault="000E43B6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366B0" w:rsidRPr="00B827A4" w:rsidRDefault="00AB0932">
      <w:pPr>
        <w:rPr>
          <w:rFonts w:ascii="Times New Roman" w:hAnsi="Times New Roman"/>
          <w:b/>
          <w:sz w:val="22"/>
          <w:szCs w:val="22"/>
          <w:u w:val="single"/>
        </w:rPr>
      </w:pPr>
      <w:r w:rsidRPr="00B827A4">
        <w:rPr>
          <w:rFonts w:ascii="Times New Roman" w:hAnsi="Times New Roman"/>
          <w:b/>
          <w:sz w:val="22"/>
          <w:szCs w:val="22"/>
          <w:u w:val="single"/>
        </w:rPr>
        <w:t>Reviewing and Refereeing Activity</w:t>
      </w:r>
    </w:p>
    <w:p w:rsidR="00AB0932" w:rsidRDefault="00AB0932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63B3" w:rsidTr="009E63B3">
        <w:tc>
          <w:tcPr>
            <w:tcW w:w="4675" w:type="dxa"/>
          </w:tcPr>
          <w:p w:rsidR="009E63B3" w:rsidRDefault="009E63B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4675" w:type="dxa"/>
          </w:tcPr>
          <w:p w:rsidR="009E63B3" w:rsidRDefault="009E63B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Activity and for Whom</w:t>
            </w:r>
          </w:p>
        </w:tc>
      </w:tr>
      <w:tr w:rsidR="009E63B3" w:rsidTr="009E63B3">
        <w:tc>
          <w:tcPr>
            <w:tcW w:w="4675" w:type="dxa"/>
          </w:tcPr>
          <w:p w:rsidR="009E63B3" w:rsidRPr="009E63B3" w:rsidRDefault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2006-2018</w:t>
            </w:r>
          </w:p>
        </w:tc>
        <w:tc>
          <w:tcPr>
            <w:tcW w:w="4675" w:type="dxa"/>
          </w:tcPr>
          <w:p w:rsidR="009E63B3" w:rsidRDefault="009E63B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Editorial Service (Peer Review),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 xml:space="preserve"> Hesperia</w:t>
            </w:r>
          </w:p>
        </w:tc>
      </w:tr>
      <w:tr w:rsidR="009E63B3" w:rsidTr="009E63B3">
        <w:tc>
          <w:tcPr>
            <w:tcW w:w="4675" w:type="dxa"/>
          </w:tcPr>
          <w:p w:rsidR="009E63B3" w:rsidRPr="009E63B3" w:rsidRDefault="009E63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2006-2018</w:t>
            </w:r>
          </w:p>
        </w:tc>
        <w:tc>
          <w:tcPr>
            <w:tcW w:w="4675" w:type="dxa"/>
          </w:tcPr>
          <w:p w:rsidR="009E63B3" w:rsidRDefault="009E63B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 xml:space="preserve">Editorial Service (Peer Review), </w:t>
            </w: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Journal of Archaeology</w:t>
            </w:r>
          </w:p>
        </w:tc>
      </w:tr>
    </w:tbl>
    <w:p w:rsidR="00AB0932" w:rsidRDefault="00AB0932">
      <w:pPr>
        <w:rPr>
          <w:rFonts w:ascii="Times New Roman" w:hAnsi="Times New Roman"/>
          <w:b/>
          <w:sz w:val="22"/>
          <w:szCs w:val="22"/>
        </w:rPr>
      </w:pPr>
    </w:p>
    <w:p w:rsidR="008D46F0" w:rsidRDefault="008D46F0" w:rsidP="008D46F0">
      <w:pPr>
        <w:rPr>
          <w:rFonts w:ascii="Times New Roman" w:hAnsi="Times New Roman"/>
          <w:b/>
          <w:sz w:val="22"/>
          <w:szCs w:val="22"/>
          <w:u w:val="single"/>
        </w:rPr>
      </w:pPr>
      <w:r w:rsidRPr="000D20A8">
        <w:rPr>
          <w:rFonts w:ascii="Times New Roman" w:hAnsi="Times New Roman"/>
          <w:b/>
          <w:sz w:val="22"/>
          <w:szCs w:val="22"/>
          <w:u w:val="single"/>
        </w:rPr>
        <w:t>S</w:t>
      </w:r>
      <w:r w:rsidR="00470188" w:rsidRPr="000D20A8">
        <w:rPr>
          <w:rFonts w:ascii="Times New Roman" w:hAnsi="Times New Roman"/>
          <w:b/>
          <w:sz w:val="22"/>
          <w:szCs w:val="22"/>
          <w:u w:val="single"/>
        </w:rPr>
        <w:t>pecial Appointments</w:t>
      </w:r>
    </w:p>
    <w:p w:rsidR="000D20A8" w:rsidRPr="000D20A8" w:rsidRDefault="000D20A8" w:rsidP="008D46F0">
      <w:pPr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3193"/>
        <w:gridCol w:w="4362"/>
      </w:tblGrid>
      <w:tr w:rsidR="00AB0932" w:rsidRPr="00B827A4" w:rsidTr="009E63B3">
        <w:tc>
          <w:tcPr>
            <w:tcW w:w="1790" w:type="dxa"/>
          </w:tcPr>
          <w:p w:rsidR="00AB0932" w:rsidRPr="00B827A4" w:rsidRDefault="00AB0932" w:rsidP="005C1B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Year</w:t>
            </w:r>
          </w:p>
        </w:tc>
        <w:tc>
          <w:tcPr>
            <w:tcW w:w="3193" w:type="dxa"/>
          </w:tcPr>
          <w:p w:rsidR="00AB0932" w:rsidRPr="00B827A4" w:rsidRDefault="00AB0932" w:rsidP="005C1B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Position</w:t>
            </w:r>
          </w:p>
        </w:tc>
        <w:tc>
          <w:tcPr>
            <w:tcW w:w="4362" w:type="dxa"/>
          </w:tcPr>
          <w:p w:rsidR="00AB0932" w:rsidRPr="00B827A4" w:rsidRDefault="00AB0932" w:rsidP="005C1B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27A4">
              <w:rPr>
                <w:rFonts w:ascii="Times New Roman" w:hAnsi="Times New Roman"/>
                <w:b/>
                <w:sz w:val="22"/>
                <w:szCs w:val="22"/>
              </w:rPr>
              <w:t>Type of Service</w:t>
            </w:r>
          </w:p>
        </w:tc>
      </w:tr>
      <w:tr w:rsidR="00AB0932" w:rsidRPr="00B827A4" w:rsidTr="009E63B3">
        <w:tc>
          <w:tcPr>
            <w:tcW w:w="1790" w:type="dxa"/>
          </w:tcPr>
          <w:p w:rsidR="00AB0932" w:rsidRPr="00B827A4" w:rsidRDefault="00AB0932" w:rsidP="005C1B6F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1993-Present</w:t>
            </w:r>
          </w:p>
        </w:tc>
        <w:tc>
          <w:tcPr>
            <w:tcW w:w="3193" w:type="dxa"/>
          </w:tcPr>
          <w:p w:rsidR="00AB0932" w:rsidRPr="00B827A4" w:rsidRDefault="009E37D7" w:rsidP="005C1B6F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4362" w:type="dxa"/>
          </w:tcPr>
          <w:p w:rsidR="00AB0932" w:rsidRPr="00B827A4" w:rsidRDefault="00AB0932" w:rsidP="005C1B6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Archaeological Institute of America</w:t>
            </w:r>
          </w:p>
        </w:tc>
      </w:tr>
      <w:tr w:rsidR="00AB0932" w:rsidRPr="00B827A4" w:rsidTr="009E63B3">
        <w:tc>
          <w:tcPr>
            <w:tcW w:w="1790" w:type="dxa"/>
          </w:tcPr>
          <w:p w:rsidR="00AB0932" w:rsidRPr="00B827A4" w:rsidRDefault="00AB0932" w:rsidP="000E43B6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2004-</w:t>
            </w:r>
            <w:r w:rsidR="000E43B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3193" w:type="dxa"/>
          </w:tcPr>
          <w:p w:rsidR="00AB0932" w:rsidRPr="00B827A4" w:rsidRDefault="009E37D7" w:rsidP="005C1B6F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President</w:t>
            </w:r>
          </w:p>
        </w:tc>
        <w:tc>
          <w:tcPr>
            <w:tcW w:w="4362" w:type="dxa"/>
          </w:tcPr>
          <w:p w:rsidR="00AB0932" w:rsidRPr="00B827A4" w:rsidRDefault="00AB0932" w:rsidP="005C1B6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Archaeological Institute of America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, Santa Barbara Chapter</w:t>
            </w:r>
          </w:p>
        </w:tc>
      </w:tr>
      <w:tr w:rsidR="00AB0932" w:rsidRPr="00B827A4" w:rsidTr="009E63B3">
        <w:tc>
          <w:tcPr>
            <w:tcW w:w="1790" w:type="dxa"/>
          </w:tcPr>
          <w:p w:rsidR="00AB0932" w:rsidRPr="00B827A4" w:rsidRDefault="00AB0932" w:rsidP="00AB0932">
            <w:pPr>
              <w:pStyle w:val="FootnoteText"/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2005-Present</w:t>
            </w:r>
          </w:p>
        </w:tc>
        <w:tc>
          <w:tcPr>
            <w:tcW w:w="3193" w:type="dxa"/>
          </w:tcPr>
          <w:p w:rsidR="00AB0932" w:rsidRPr="00B827A4" w:rsidRDefault="009E37D7" w:rsidP="00AB0932">
            <w:pPr>
              <w:pStyle w:val="FootnoteText"/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4362" w:type="dxa"/>
          </w:tcPr>
          <w:p w:rsidR="00AB0932" w:rsidRPr="00B827A4" w:rsidRDefault="00AB0932" w:rsidP="00AB0932">
            <w:pPr>
              <w:pStyle w:val="FootnoteText"/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American School of Classical Studies at Athens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, Managing Committee</w:t>
            </w:r>
          </w:p>
        </w:tc>
      </w:tr>
      <w:tr w:rsidR="00AB0932" w:rsidRPr="00B827A4" w:rsidTr="009E63B3">
        <w:tc>
          <w:tcPr>
            <w:tcW w:w="1790" w:type="dxa"/>
          </w:tcPr>
          <w:p w:rsidR="00AB0932" w:rsidRPr="00B827A4" w:rsidRDefault="00AB0932" w:rsidP="00AB0932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2011-2017</w:t>
            </w:r>
          </w:p>
        </w:tc>
        <w:tc>
          <w:tcPr>
            <w:tcW w:w="3193" w:type="dxa"/>
          </w:tcPr>
          <w:p w:rsidR="00AB0932" w:rsidRPr="00B827A4" w:rsidRDefault="009E37D7" w:rsidP="00AB0932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4362" w:type="dxa"/>
          </w:tcPr>
          <w:p w:rsidR="00AB0932" w:rsidRPr="00B827A4" w:rsidRDefault="00AB0932" w:rsidP="00AB0932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Archaeological Institute of America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 xml:space="preserve">, Committee on Jane C. </w:t>
            </w: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Waldbaum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Archaeological Field School Scholarship</w:t>
            </w:r>
          </w:p>
        </w:tc>
      </w:tr>
      <w:tr w:rsidR="00AB0932" w:rsidRPr="00B827A4" w:rsidTr="009E63B3">
        <w:tc>
          <w:tcPr>
            <w:tcW w:w="1790" w:type="dxa"/>
          </w:tcPr>
          <w:p w:rsidR="00AB0932" w:rsidRPr="00B827A4" w:rsidRDefault="00AB0932" w:rsidP="00AB0932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2017-present</w:t>
            </w:r>
          </w:p>
        </w:tc>
        <w:tc>
          <w:tcPr>
            <w:tcW w:w="3193" w:type="dxa"/>
          </w:tcPr>
          <w:p w:rsidR="00AB0932" w:rsidRPr="00B827A4" w:rsidRDefault="009E37D7" w:rsidP="00AB0932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4362" w:type="dxa"/>
          </w:tcPr>
          <w:p w:rsidR="00AB0932" w:rsidRPr="00B827A4" w:rsidRDefault="00AB0932" w:rsidP="00AB0932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i/>
                <w:sz w:val="22"/>
                <w:szCs w:val="22"/>
              </w:rPr>
              <w:t>Archaeological Institute of America</w:t>
            </w:r>
            <w:r w:rsidRPr="00B827A4">
              <w:rPr>
                <w:rFonts w:ascii="Times New Roman" w:hAnsi="Times New Roman"/>
                <w:sz w:val="22"/>
                <w:szCs w:val="22"/>
              </w:rPr>
              <w:t>, Committee on Gold Medal Award for Distinguished Archaeological Achievement</w:t>
            </w:r>
          </w:p>
        </w:tc>
      </w:tr>
    </w:tbl>
    <w:p w:rsidR="00B35A46" w:rsidRDefault="00B35A46">
      <w:pPr>
        <w:rPr>
          <w:rFonts w:ascii="Times New Roman" w:hAnsi="Times New Roman"/>
          <w:b/>
          <w:sz w:val="22"/>
          <w:szCs w:val="22"/>
        </w:rPr>
      </w:pPr>
    </w:p>
    <w:p w:rsidR="00AB1127" w:rsidRPr="00B35A46" w:rsidRDefault="00B35A46">
      <w:pPr>
        <w:rPr>
          <w:rFonts w:ascii="Times New Roman" w:hAnsi="Times New Roman"/>
          <w:b/>
          <w:sz w:val="22"/>
          <w:szCs w:val="22"/>
          <w:u w:val="single"/>
        </w:rPr>
      </w:pPr>
      <w:r w:rsidRPr="00B35A46">
        <w:rPr>
          <w:rFonts w:ascii="Times New Roman" w:hAnsi="Times New Roman"/>
          <w:b/>
          <w:sz w:val="22"/>
          <w:szCs w:val="22"/>
          <w:u w:val="single"/>
        </w:rPr>
        <w:t>Fieldwork</w:t>
      </w:r>
    </w:p>
    <w:p w:rsidR="00AB1127" w:rsidRPr="00B827A4" w:rsidRDefault="00AB1127" w:rsidP="00AB1127">
      <w:pPr>
        <w:rPr>
          <w:rFonts w:ascii="Times New Roman" w:hAnsi="Times New Roman"/>
          <w:sz w:val="22"/>
          <w:szCs w:val="22"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170"/>
        <w:gridCol w:w="8280"/>
      </w:tblGrid>
      <w:tr w:rsidR="00AB1127" w:rsidRPr="00B827A4" w:rsidTr="00B35A46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27" w:rsidRPr="00B827A4" w:rsidRDefault="00AB1127" w:rsidP="009B287E">
            <w:pPr>
              <w:rPr>
                <w:rFonts w:ascii="Times New Roman" w:hAnsi="Times New Roman"/>
                <w:sz w:val="22"/>
                <w:szCs w:val="22"/>
              </w:rPr>
            </w:pPr>
            <w:r w:rsidRPr="00B827A4">
              <w:rPr>
                <w:rFonts w:ascii="Times New Roman" w:hAnsi="Times New Roman"/>
                <w:sz w:val="22"/>
                <w:szCs w:val="22"/>
              </w:rPr>
              <w:t>2005-2018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27" w:rsidRPr="00B827A4" w:rsidRDefault="00AB1127" w:rsidP="009B2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27A4">
              <w:rPr>
                <w:rFonts w:ascii="Times New Roman" w:hAnsi="Times New Roman"/>
                <w:sz w:val="22"/>
                <w:szCs w:val="22"/>
              </w:rPr>
              <w:t>Lerna</w:t>
            </w:r>
            <w:proofErr w:type="spellEnd"/>
            <w:r w:rsidRPr="00B827A4">
              <w:rPr>
                <w:rFonts w:ascii="Times New Roman" w:hAnsi="Times New Roman"/>
                <w:sz w:val="22"/>
                <w:szCs w:val="22"/>
              </w:rPr>
              <w:t xml:space="preserve"> Publications Team, American School of Classical Studies at Athens, with annual reports submitted to ASCSA.</w:t>
            </w:r>
          </w:p>
        </w:tc>
      </w:tr>
      <w:tr w:rsidR="000E43B6" w:rsidRPr="00B827A4" w:rsidTr="00B35A46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B6" w:rsidRPr="00B827A4" w:rsidRDefault="00E51D63" w:rsidP="009B28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2019-2022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B6" w:rsidRPr="00B827A4" w:rsidRDefault="008A0136" w:rsidP="008A01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Urban Survey 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Aigeira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Greek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Ministery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of Culture,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Ephorate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of Antiquities of Achaia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Patras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and the Austrian Archaeological Institute at Athens</w:t>
            </w:r>
          </w:p>
        </w:tc>
      </w:tr>
    </w:tbl>
    <w:p w:rsidR="00AB0932" w:rsidRPr="00AB0932" w:rsidRDefault="00AB0932">
      <w:pPr>
        <w:rPr>
          <w:rFonts w:ascii="Times New Roman" w:hAnsi="Times New Roman"/>
          <w:b/>
          <w:sz w:val="22"/>
          <w:szCs w:val="22"/>
        </w:rPr>
      </w:pPr>
    </w:p>
    <w:sectPr w:rsidR="00AB0932" w:rsidRPr="00AB0932" w:rsidSect="005366B0">
      <w:headerReference w:type="even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DE" w:rsidRDefault="004B5DDE">
      <w:r>
        <w:separator/>
      </w:r>
    </w:p>
  </w:endnote>
  <w:endnote w:type="continuationSeparator" w:id="0">
    <w:p w:rsidR="004B5DDE" w:rsidRDefault="004B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DE" w:rsidRDefault="004B5DDE" w:rsidP="006E25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DDE" w:rsidRDefault="004B5DDE" w:rsidP="00AA69C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DE" w:rsidRDefault="004B5DDE" w:rsidP="006E25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1B2">
      <w:rPr>
        <w:rStyle w:val="PageNumber"/>
        <w:noProof/>
      </w:rPr>
      <w:t>4</w:t>
    </w:r>
    <w:r>
      <w:rPr>
        <w:rStyle w:val="PageNumber"/>
      </w:rPr>
      <w:fldChar w:fldCharType="end"/>
    </w:r>
  </w:p>
  <w:p w:rsidR="004B5DDE" w:rsidRDefault="004B5DDE" w:rsidP="00AA69C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358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DDE" w:rsidRDefault="004B5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1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DDE" w:rsidRDefault="004B5D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DE" w:rsidRDefault="004B5DDE">
      <w:r>
        <w:separator/>
      </w:r>
    </w:p>
  </w:footnote>
  <w:footnote w:type="continuationSeparator" w:id="0">
    <w:p w:rsidR="004B5DDE" w:rsidRDefault="004B5D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DE" w:rsidRDefault="004B5DDE" w:rsidP="005366B0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DDE" w:rsidRDefault="004B5DDE" w:rsidP="005366B0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9CC9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174078"/>
    <w:multiLevelType w:val="hybridMultilevel"/>
    <w:tmpl w:val="D59C3D3C"/>
    <w:lvl w:ilvl="0" w:tplc="EDA46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80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55A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6E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4A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4A28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6E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9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65A6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852E0"/>
    <w:multiLevelType w:val="hybridMultilevel"/>
    <w:tmpl w:val="4AC0F67A"/>
    <w:lvl w:ilvl="0" w:tplc="0A98E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A0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3E4A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49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81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7D8E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A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29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4146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A3637"/>
    <w:multiLevelType w:val="hybridMultilevel"/>
    <w:tmpl w:val="4A168E5A"/>
    <w:lvl w:ilvl="0" w:tplc="DCE01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E4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A50B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E8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08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0FAD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E0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2E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9283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B0786"/>
    <w:multiLevelType w:val="singleLevel"/>
    <w:tmpl w:val="8E942FD0"/>
    <w:lvl w:ilvl="0">
      <w:start w:val="199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8C67236"/>
    <w:multiLevelType w:val="hybridMultilevel"/>
    <w:tmpl w:val="88349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C54DF9"/>
    <w:multiLevelType w:val="singleLevel"/>
    <w:tmpl w:val="4238B1E0"/>
    <w:lvl w:ilvl="0">
      <w:start w:val="199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5B"/>
    <w:rsid w:val="00000140"/>
    <w:rsid w:val="00037865"/>
    <w:rsid w:val="0005797E"/>
    <w:rsid w:val="00096BC4"/>
    <w:rsid w:val="000D20A8"/>
    <w:rsid w:val="000D7232"/>
    <w:rsid w:val="000E43B6"/>
    <w:rsid w:val="000F157D"/>
    <w:rsid w:val="000F236C"/>
    <w:rsid w:val="001068C8"/>
    <w:rsid w:val="00120C80"/>
    <w:rsid w:val="00125BF6"/>
    <w:rsid w:val="001454E6"/>
    <w:rsid w:val="001513EF"/>
    <w:rsid w:val="00180A2D"/>
    <w:rsid w:val="00181BE8"/>
    <w:rsid w:val="001845EE"/>
    <w:rsid w:val="0019595E"/>
    <w:rsid w:val="00197F36"/>
    <w:rsid w:val="001B370F"/>
    <w:rsid w:val="001E169D"/>
    <w:rsid w:val="001E7EFC"/>
    <w:rsid w:val="00200535"/>
    <w:rsid w:val="00212DC3"/>
    <w:rsid w:val="00223263"/>
    <w:rsid w:val="0022336B"/>
    <w:rsid w:val="00232480"/>
    <w:rsid w:val="00242012"/>
    <w:rsid w:val="00277840"/>
    <w:rsid w:val="002941B2"/>
    <w:rsid w:val="002B5AD6"/>
    <w:rsid w:val="002C61E0"/>
    <w:rsid w:val="002D4582"/>
    <w:rsid w:val="002F1D87"/>
    <w:rsid w:val="002F386F"/>
    <w:rsid w:val="002F4FBF"/>
    <w:rsid w:val="00312CDA"/>
    <w:rsid w:val="003229E2"/>
    <w:rsid w:val="00341D09"/>
    <w:rsid w:val="00351C0C"/>
    <w:rsid w:val="003713FE"/>
    <w:rsid w:val="00377D6C"/>
    <w:rsid w:val="00380BE3"/>
    <w:rsid w:val="00384C33"/>
    <w:rsid w:val="00394924"/>
    <w:rsid w:val="003B6CF2"/>
    <w:rsid w:val="003D710B"/>
    <w:rsid w:val="004270ED"/>
    <w:rsid w:val="00432B2A"/>
    <w:rsid w:val="004370B2"/>
    <w:rsid w:val="00444035"/>
    <w:rsid w:val="00444FC7"/>
    <w:rsid w:val="00470188"/>
    <w:rsid w:val="00474515"/>
    <w:rsid w:val="004B36CE"/>
    <w:rsid w:val="004B5DDE"/>
    <w:rsid w:val="004D3004"/>
    <w:rsid w:val="004E200C"/>
    <w:rsid w:val="005003FC"/>
    <w:rsid w:val="00501F64"/>
    <w:rsid w:val="00514AEA"/>
    <w:rsid w:val="0052157F"/>
    <w:rsid w:val="00524BE8"/>
    <w:rsid w:val="005366B0"/>
    <w:rsid w:val="005B0306"/>
    <w:rsid w:val="005B46D4"/>
    <w:rsid w:val="005C1B6F"/>
    <w:rsid w:val="005D707F"/>
    <w:rsid w:val="00636274"/>
    <w:rsid w:val="0065289F"/>
    <w:rsid w:val="0065639A"/>
    <w:rsid w:val="006570CD"/>
    <w:rsid w:val="006747F4"/>
    <w:rsid w:val="00692146"/>
    <w:rsid w:val="00696186"/>
    <w:rsid w:val="006A3A1D"/>
    <w:rsid w:val="006D15BF"/>
    <w:rsid w:val="006E254F"/>
    <w:rsid w:val="006F08BF"/>
    <w:rsid w:val="00720DC5"/>
    <w:rsid w:val="0072406E"/>
    <w:rsid w:val="007420AA"/>
    <w:rsid w:val="00745B6C"/>
    <w:rsid w:val="00783990"/>
    <w:rsid w:val="00797A8C"/>
    <w:rsid w:val="007B1160"/>
    <w:rsid w:val="007B3AF5"/>
    <w:rsid w:val="007F22E2"/>
    <w:rsid w:val="007F7331"/>
    <w:rsid w:val="008049DE"/>
    <w:rsid w:val="00805AFC"/>
    <w:rsid w:val="00811E77"/>
    <w:rsid w:val="008266EA"/>
    <w:rsid w:val="008272E3"/>
    <w:rsid w:val="008628F5"/>
    <w:rsid w:val="00872879"/>
    <w:rsid w:val="008A0136"/>
    <w:rsid w:val="008B33EA"/>
    <w:rsid w:val="008D46F0"/>
    <w:rsid w:val="009003CA"/>
    <w:rsid w:val="009009D7"/>
    <w:rsid w:val="009260AA"/>
    <w:rsid w:val="0092724C"/>
    <w:rsid w:val="00935191"/>
    <w:rsid w:val="0094261A"/>
    <w:rsid w:val="009500EC"/>
    <w:rsid w:val="009510AD"/>
    <w:rsid w:val="00960A29"/>
    <w:rsid w:val="00967C01"/>
    <w:rsid w:val="00982AF7"/>
    <w:rsid w:val="00986F74"/>
    <w:rsid w:val="009B287E"/>
    <w:rsid w:val="009E37D7"/>
    <w:rsid w:val="009E63B3"/>
    <w:rsid w:val="00A53CA6"/>
    <w:rsid w:val="00A66DE0"/>
    <w:rsid w:val="00A75E15"/>
    <w:rsid w:val="00A76DA1"/>
    <w:rsid w:val="00AA69CA"/>
    <w:rsid w:val="00AB0932"/>
    <w:rsid w:val="00AB1127"/>
    <w:rsid w:val="00AE44B5"/>
    <w:rsid w:val="00AF6865"/>
    <w:rsid w:val="00B35A46"/>
    <w:rsid w:val="00B4028B"/>
    <w:rsid w:val="00B604B6"/>
    <w:rsid w:val="00B827A4"/>
    <w:rsid w:val="00B93BD6"/>
    <w:rsid w:val="00BA02A3"/>
    <w:rsid w:val="00BB59AD"/>
    <w:rsid w:val="00BC76FC"/>
    <w:rsid w:val="00BE7874"/>
    <w:rsid w:val="00C572C0"/>
    <w:rsid w:val="00C572FC"/>
    <w:rsid w:val="00C7436A"/>
    <w:rsid w:val="00C84271"/>
    <w:rsid w:val="00CA45E9"/>
    <w:rsid w:val="00CD5E08"/>
    <w:rsid w:val="00CE0BF0"/>
    <w:rsid w:val="00D16F38"/>
    <w:rsid w:val="00D67EA6"/>
    <w:rsid w:val="00D7717D"/>
    <w:rsid w:val="00D96E13"/>
    <w:rsid w:val="00DD5C5A"/>
    <w:rsid w:val="00DD65C6"/>
    <w:rsid w:val="00DD7006"/>
    <w:rsid w:val="00E45DEF"/>
    <w:rsid w:val="00E505A5"/>
    <w:rsid w:val="00E51D63"/>
    <w:rsid w:val="00E84B86"/>
    <w:rsid w:val="00E97B69"/>
    <w:rsid w:val="00EC5380"/>
    <w:rsid w:val="00EC7BD5"/>
    <w:rsid w:val="00F017CC"/>
    <w:rsid w:val="00F30F5F"/>
    <w:rsid w:val="00F31F4B"/>
    <w:rsid w:val="00F4795C"/>
    <w:rsid w:val="00F6315B"/>
    <w:rsid w:val="00F65304"/>
    <w:rsid w:val="00F8500E"/>
    <w:rsid w:val="00FC051F"/>
    <w:rsid w:val="00FC060B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0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after="60"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color w:val="0000FF"/>
      <w:sz w:val="18"/>
    </w:rPr>
  </w:style>
  <w:style w:type="paragraph" w:styleId="Heading6">
    <w:name w:val="heading 6"/>
    <w:basedOn w:val="Normal"/>
    <w:next w:val="Normal"/>
    <w:qFormat/>
    <w:pPr>
      <w:keepNext/>
      <w:ind w:right="180"/>
      <w:jc w:val="right"/>
      <w:outlineLvl w:val="5"/>
    </w:pPr>
    <w:rPr>
      <w:b/>
      <w:color w:val="0000FF"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color w:val="0000FF"/>
      <w:sz w:val="20"/>
    </w:rPr>
  </w:style>
  <w:style w:type="paragraph" w:styleId="Heading8">
    <w:name w:val="heading 8"/>
    <w:basedOn w:val="Normal"/>
    <w:next w:val="Normal"/>
    <w:qFormat/>
    <w:pPr>
      <w:keepNext/>
      <w:spacing w:before="120"/>
      <w:jc w:val="right"/>
      <w:outlineLvl w:val="7"/>
    </w:pPr>
    <w:rPr>
      <w:b/>
      <w:color w:val="0000FF"/>
      <w:sz w:val="16"/>
    </w:rPr>
  </w:style>
  <w:style w:type="paragraph" w:styleId="Heading9">
    <w:name w:val="heading 9"/>
    <w:basedOn w:val="Normal"/>
    <w:next w:val="Normal"/>
    <w:qFormat/>
    <w:pPr>
      <w:keepNext/>
      <w:spacing w:after="80"/>
      <w:ind w:right="-14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">
    <w:name w:val="Body Text"/>
    <w:basedOn w:val="Normal"/>
    <w:pPr>
      <w:spacing w:before="60" w:after="60"/>
      <w:jc w:val="center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Arial" w:hAnsi="Arial" w:cs="Arial" w:hint="default"/>
      <w:color w:val="0000CC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dyText2">
    <w:name w:val="Body Text 2"/>
    <w:basedOn w:val="Normal"/>
    <w:rPr>
      <w:sz w:val="20"/>
    </w:rPr>
  </w:style>
  <w:style w:type="table" w:styleId="TableGrid">
    <w:name w:val="Table Grid"/>
    <w:basedOn w:val="TableNormal"/>
    <w:uiPriority w:val="39"/>
    <w:rsid w:val="003D3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F6F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CF6FDE"/>
    <w:rPr>
      <w:b/>
      <w:bCs/>
    </w:rPr>
  </w:style>
  <w:style w:type="character" w:customStyle="1" w:styleId="subhead">
    <w:name w:val="subhead"/>
    <w:basedOn w:val="DefaultParagraphFont"/>
    <w:rsid w:val="00CF6FDE"/>
  </w:style>
  <w:style w:type="character" w:styleId="PageNumber">
    <w:name w:val="page number"/>
    <w:basedOn w:val="DefaultParagraphFont"/>
    <w:rsid w:val="00D30F3D"/>
  </w:style>
  <w:style w:type="character" w:customStyle="1" w:styleId="FooterChar">
    <w:name w:val="Footer Char"/>
    <w:basedOn w:val="DefaultParagraphFont"/>
    <w:link w:val="Footer"/>
    <w:uiPriority w:val="99"/>
    <w:rsid w:val="00F30F5F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0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after="60"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color w:val="0000FF"/>
      <w:sz w:val="18"/>
    </w:rPr>
  </w:style>
  <w:style w:type="paragraph" w:styleId="Heading6">
    <w:name w:val="heading 6"/>
    <w:basedOn w:val="Normal"/>
    <w:next w:val="Normal"/>
    <w:qFormat/>
    <w:pPr>
      <w:keepNext/>
      <w:ind w:right="180"/>
      <w:jc w:val="right"/>
      <w:outlineLvl w:val="5"/>
    </w:pPr>
    <w:rPr>
      <w:b/>
      <w:color w:val="0000FF"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color w:val="0000FF"/>
      <w:sz w:val="20"/>
    </w:rPr>
  </w:style>
  <w:style w:type="paragraph" w:styleId="Heading8">
    <w:name w:val="heading 8"/>
    <w:basedOn w:val="Normal"/>
    <w:next w:val="Normal"/>
    <w:qFormat/>
    <w:pPr>
      <w:keepNext/>
      <w:spacing w:before="120"/>
      <w:jc w:val="right"/>
      <w:outlineLvl w:val="7"/>
    </w:pPr>
    <w:rPr>
      <w:b/>
      <w:color w:val="0000FF"/>
      <w:sz w:val="16"/>
    </w:rPr>
  </w:style>
  <w:style w:type="paragraph" w:styleId="Heading9">
    <w:name w:val="heading 9"/>
    <w:basedOn w:val="Normal"/>
    <w:next w:val="Normal"/>
    <w:qFormat/>
    <w:pPr>
      <w:keepNext/>
      <w:spacing w:after="80"/>
      <w:ind w:right="-14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">
    <w:name w:val="Body Text"/>
    <w:basedOn w:val="Normal"/>
    <w:pPr>
      <w:spacing w:before="60" w:after="60"/>
      <w:jc w:val="center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Arial" w:hAnsi="Arial" w:cs="Arial" w:hint="default"/>
      <w:color w:val="0000CC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dyText2">
    <w:name w:val="Body Text 2"/>
    <w:basedOn w:val="Normal"/>
    <w:rPr>
      <w:sz w:val="20"/>
    </w:rPr>
  </w:style>
  <w:style w:type="table" w:styleId="TableGrid">
    <w:name w:val="Table Grid"/>
    <w:basedOn w:val="TableNormal"/>
    <w:uiPriority w:val="39"/>
    <w:rsid w:val="003D3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F6F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CF6FDE"/>
    <w:rPr>
      <w:b/>
      <w:bCs/>
    </w:rPr>
  </w:style>
  <w:style w:type="character" w:customStyle="1" w:styleId="subhead">
    <w:name w:val="subhead"/>
    <w:basedOn w:val="DefaultParagraphFont"/>
    <w:rsid w:val="00CF6FDE"/>
  </w:style>
  <w:style w:type="character" w:styleId="PageNumber">
    <w:name w:val="page number"/>
    <w:basedOn w:val="DefaultParagraphFont"/>
    <w:rsid w:val="00D30F3D"/>
  </w:style>
  <w:style w:type="character" w:customStyle="1" w:styleId="FooterChar">
    <w:name w:val="Footer Char"/>
    <w:basedOn w:val="DefaultParagraphFont"/>
    <w:link w:val="Footer"/>
    <w:uiPriority w:val="99"/>
    <w:rsid w:val="00F30F5F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7476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DISTRIBUTION OF FACULTY</vt:lpstr>
    </vt:vector>
  </TitlesOfParts>
  <Company>UCSB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OF FACULTY</dc:title>
  <dc:subject/>
  <dc:creator>Becky Davis</dc:creator>
  <cp:keywords/>
  <cp:lastModifiedBy>Brice</cp:lastModifiedBy>
  <cp:revision>2</cp:revision>
  <cp:lastPrinted>2018-10-19T17:01:00Z</cp:lastPrinted>
  <dcterms:created xsi:type="dcterms:W3CDTF">2020-09-30T00:13:00Z</dcterms:created>
  <dcterms:modified xsi:type="dcterms:W3CDTF">2020-09-30T00:13:00Z</dcterms:modified>
</cp:coreProperties>
</file>